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3BC8F" w14:textId="3A17FB36" w:rsidR="00745040" w:rsidRPr="00745040" w:rsidRDefault="00745040" w:rsidP="00745040">
      <w:pPr>
        <w:spacing w:after="0" w:line="276" w:lineRule="auto"/>
        <w:rPr>
          <w:rFonts w:ascii="Calibri" w:hAnsi="Calibri" w:cs="Calibri"/>
        </w:rPr>
      </w:pPr>
      <w:r w:rsidRPr="00745040">
        <w:rPr>
          <w:rFonts w:ascii="Calibri" w:hAnsi="Calibri" w:cs="Calibri"/>
          <w:noProof/>
        </w:rPr>
        <w:drawing>
          <wp:inline distT="0" distB="0" distL="0" distR="0" wp14:anchorId="4E02592C" wp14:editId="6BD5061D">
            <wp:extent cx="1714500" cy="1074420"/>
            <wp:effectExtent l="0" t="0" r="0" b="0"/>
            <wp:docPr id="1875759547" name="Obraz 2" descr="Obraz zawierający Czcionka, Grafika, logo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59547" name="Obraz 2" descr="Obraz zawierający Czcionka, Grafika, logo, zrzut ekran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217F3" w14:textId="77777777" w:rsidR="00745040" w:rsidRPr="00745040" w:rsidRDefault="00745040" w:rsidP="00745040">
      <w:pPr>
        <w:spacing w:after="0" w:line="276" w:lineRule="auto"/>
        <w:rPr>
          <w:rFonts w:ascii="Calibri" w:hAnsi="Calibri" w:cs="Calibri"/>
        </w:rPr>
      </w:pPr>
    </w:p>
    <w:p w14:paraId="57B4784F" w14:textId="265627C3" w:rsidR="00F84583" w:rsidRPr="00745040" w:rsidRDefault="00F84583" w:rsidP="00745040">
      <w:pPr>
        <w:spacing w:after="0" w:line="276" w:lineRule="auto"/>
        <w:ind w:firstLine="708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Data sporządzenia: 26.11.2025</w:t>
      </w:r>
    </w:p>
    <w:p w14:paraId="6959492D" w14:textId="3CD902E9" w:rsidR="00F84583" w:rsidRPr="00745040" w:rsidRDefault="00F84583" w:rsidP="00745040">
      <w:pPr>
        <w:spacing w:after="0" w:line="276" w:lineRule="auto"/>
        <w:ind w:firstLine="708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Wersja dokumentu: 1.0</w:t>
      </w:r>
    </w:p>
    <w:p w14:paraId="75EB2755" w14:textId="4C9A1F78" w:rsidR="00745040" w:rsidRPr="0068716F" w:rsidRDefault="00F84583" w:rsidP="0068716F">
      <w:pPr>
        <w:spacing w:after="0" w:line="276" w:lineRule="auto"/>
        <w:ind w:left="708"/>
        <w:rPr>
          <w:rFonts w:ascii="Calibri" w:hAnsi="Calibri" w:cs="Calibri"/>
          <w:sz w:val="22"/>
          <w:szCs w:val="22"/>
        </w:rPr>
        <w:sectPr w:rsidR="00745040" w:rsidRPr="0068716F" w:rsidSect="00745040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45040">
        <w:rPr>
          <w:rFonts w:ascii="Calibri" w:hAnsi="Calibri" w:cs="Calibri"/>
          <w:sz w:val="22"/>
          <w:szCs w:val="22"/>
        </w:rPr>
        <w:t>Produkt: Świeca sojowa</w:t>
      </w:r>
      <w:r w:rsidR="00745040">
        <w:rPr>
          <w:rFonts w:ascii="Calibri" w:hAnsi="Calibri" w:cs="Calibri"/>
          <w:sz w:val="22"/>
          <w:szCs w:val="22"/>
        </w:rPr>
        <w:t xml:space="preserve"> </w:t>
      </w:r>
      <w:r w:rsidR="00765BAC">
        <w:rPr>
          <w:rFonts w:ascii="Calibri" w:hAnsi="Calibri" w:cs="Calibri"/>
          <w:sz w:val="22"/>
          <w:szCs w:val="22"/>
        </w:rPr>
        <w:t>Czekolada - Piernik</w:t>
      </w:r>
    </w:p>
    <w:p w14:paraId="7EC04A08" w14:textId="77777777" w:rsidR="00F84583" w:rsidRPr="00745040" w:rsidRDefault="00F84583" w:rsidP="00920E13">
      <w:pPr>
        <w:spacing w:after="0" w:line="276" w:lineRule="auto"/>
        <w:rPr>
          <w:rFonts w:ascii="Calibri" w:hAnsi="Calibri" w:cs="Calibri"/>
        </w:rPr>
      </w:pPr>
    </w:p>
    <w:p w14:paraId="3C42B18C" w14:textId="77777777" w:rsidR="00F84583" w:rsidRPr="00745040" w:rsidRDefault="00F84583" w:rsidP="00920E1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745040">
        <w:rPr>
          <w:rFonts w:ascii="Calibri" w:hAnsi="Calibri" w:cs="Calibri"/>
          <w:b/>
          <w:bCs/>
          <w:sz w:val="32"/>
          <w:szCs w:val="32"/>
        </w:rPr>
        <w:t>KARTA CHARAKTERYSTYKI (SDS)</w:t>
      </w:r>
    </w:p>
    <w:p w14:paraId="65A2164F" w14:textId="77777777" w:rsidR="00F84583" w:rsidRPr="00745040" w:rsidRDefault="00F84583" w:rsidP="00920E13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745040">
        <w:rPr>
          <w:rFonts w:ascii="Calibri" w:hAnsi="Calibri" w:cs="Calibri"/>
          <w:b/>
          <w:bCs/>
          <w:sz w:val="32"/>
          <w:szCs w:val="32"/>
        </w:rPr>
        <w:t>Zgodnie z Rozporządzeniem (WE) 1907/2006 (REACH) oraz 1272/2008 (CLP)</w:t>
      </w:r>
    </w:p>
    <w:p w14:paraId="18DFA191" w14:textId="2B6E4160" w:rsidR="008A32BC" w:rsidRPr="00745040" w:rsidRDefault="00745040" w:rsidP="00607A68">
      <w:pPr>
        <w:spacing w:before="240"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1: IDENTYFIKACJA SUBSTANCJI/MIESZANINY ORAZ IDENTYFIKACJA PRZEDSIĘBIORSTWA</w:t>
      </w:r>
    </w:p>
    <w:p w14:paraId="68180522" w14:textId="4460278D" w:rsidR="002967F9" w:rsidRPr="00745040" w:rsidRDefault="008A32BC" w:rsidP="00EB4586">
      <w:pPr>
        <w:pStyle w:val="Akapitzlist"/>
        <w:numPr>
          <w:ilvl w:val="1"/>
          <w:numId w:val="1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Identyfikator produktu</w:t>
      </w:r>
    </w:p>
    <w:p w14:paraId="3CE5D32E" w14:textId="7B8C2786" w:rsidR="008A32BC" w:rsidRDefault="008A32BC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Nazwa handlowa: Świeca sojowa </w:t>
      </w:r>
      <w:r w:rsidR="00765BAC">
        <w:rPr>
          <w:rFonts w:ascii="Calibri" w:hAnsi="Calibri" w:cs="Calibri"/>
          <w:sz w:val="22"/>
          <w:szCs w:val="22"/>
        </w:rPr>
        <w:t>Czekolada - Piernik</w:t>
      </w:r>
    </w:p>
    <w:p w14:paraId="40014D59" w14:textId="3B96954C" w:rsidR="008A32BC" w:rsidRPr="00745040" w:rsidRDefault="008A32BC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Rodzaj wyrobu: Świeca zapachowa na bazie wosku sojowego</w:t>
      </w:r>
    </w:p>
    <w:p w14:paraId="2C7E1038" w14:textId="2E3B6A10" w:rsidR="008A32BC" w:rsidRPr="00745040" w:rsidRDefault="008A32BC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Postać: Mieszanina woskowa z kompozycją zapachową</w:t>
      </w:r>
    </w:p>
    <w:p w14:paraId="32E6ADCA" w14:textId="3AC9EFD5" w:rsidR="002967F9" w:rsidRDefault="008A32BC" w:rsidP="005A76CA">
      <w:pPr>
        <w:pStyle w:val="Akapitzlist"/>
        <w:spacing w:after="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Zastosowanie: Produkt konsumencki – aromatyczna świeca do użytku domowego</w:t>
      </w:r>
    </w:p>
    <w:p w14:paraId="644842C4" w14:textId="77777777" w:rsidR="0009197E" w:rsidRDefault="0009197E" w:rsidP="0009197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43D34452" w14:textId="15E7FCAE" w:rsidR="002967F9" w:rsidRPr="00745040" w:rsidRDefault="008A32BC" w:rsidP="0009197E">
      <w:pPr>
        <w:pStyle w:val="Akapitzlist"/>
        <w:numPr>
          <w:ilvl w:val="1"/>
          <w:numId w:val="1"/>
        </w:numPr>
        <w:spacing w:before="120" w:after="12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Istotne zidentyfikowane zastosowania</w:t>
      </w:r>
      <w:r w:rsidR="002967F9" w:rsidRPr="00745040">
        <w:rPr>
          <w:rFonts w:ascii="Calibri" w:hAnsi="Calibri" w:cs="Calibri"/>
          <w:b/>
          <w:bCs/>
        </w:rPr>
        <w:t xml:space="preserve"> substancji/mieszaniny oraz zastosowania odradzane</w:t>
      </w:r>
    </w:p>
    <w:p w14:paraId="32F4642F" w14:textId="5F4B6DBB" w:rsidR="002967F9" w:rsidRPr="00745040" w:rsidRDefault="002967F9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Zastosowania zidentyfikowane:</w:t>
      </w:r>
    </w:p>
    <w:p w14:paraId="0A64D6A2" w14:textId="1A10CF7E" w:rsidR="002967F9" w:rsidRPr="00607A68" w:rsidRDefault="002967F9" w:rsidP="00607A68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Produkt przeznaczony jako świeca zapachowa do użytku w pomieszczeniach, służąca do wytwarzania światła oraz aromatyzacji powietrza. Przeznaczona dla konsumentów i użytkowników profesjonalnych (sprzedaż detaliczna, dekoratorzy, firmy </w:t>
      </w:r>
      <w:proofErr w:type="spellStart"/>
      <w:r w:rsidRPr="00745040">
        <w:rPr>
          <w:rFonts w:ascii="Calibri" w:hAnsi="Calibri" w:cs="Calibri"/>
          <w:sz w:val="22"/>
          <w:szCs w:val="22"/>
        </w:rPr>
        <w:t>eventowe</w:t>
      </w:r>
      <w:proofErr w:type="spellEnd"/>
      <w:r w:rsidRPr="00745040">
        <w:rPr>
          <w:rFonts w:ascii="Calibri" w:hAnsi="Calibri" w:cs="Calibri"/>
          <w:sz w:val="22"/>
          <w:szCs w:val="22"/>
        </w:rPr>
        <w:t>)</w:t>
      </w:r>
      <w:r w:rsidR="00745040" w:rsidRPr="00745040">
        <w:rPr>
          <w:rFonts w:ascii="Calibri" w:hAnsi="Calibri" w:cs="Calibri"/>
          <w:sz w:val="22"/>
          <w:szCs w:val="22"/>
        </w:rPr>
        <w:t>.</w:t>
      </w:r>
    </w:p>
    <w:p w14:paraId="749F4665" w14:textId="504C349A" w:rsidR="002967F9" w:rsidRPr="00607A68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Zastosowanie odradzane:</w:t>
      </w:r>
    </w:p>
    <w:p w14:paraId="69539E86" w14:textId="08B228D0" w:rsidR="002967F9" w:rsidRPr="00607A68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Nie stosować do innych celów niż spalanie w kontrolowanych warunkach.</w:t>
      </w:r>
    </w:p>
    <w:p w14:paraId="31173595" w14:textId="696C39AB" w:rsidR="002967F9" w:rsidRPr="00607A68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Nie stosować jako źródła ogrzewania, materiału łatwopalnego, smaru, środka czyszczącego ani w zastosowaniach przemysłowych.</w:t>
      </w:r>
    </w:p>
    <w:p w14:paraId="012E517E" w14:textId="7464AA18" w:rsidR="002967F9" w:rsidRDefault="002967F9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607A68">
        <w:rPr>
          <w:rFonts w:ascii="Calibri" w:hAnsi="Calibri" w:cs="Calibri"/>
          <w:sz w:val="22"/>
          <w:szCs w:val="22"/>
        </w:rPr>
        <w:t>Nie używać w zamkniętych, niewentylowanych przestrzeniach lub tam, gdzie istnieje ryzyko wybuchu.</w:t>
      </w:r>
    </w:p>
    <w:p w14:paraId="0B27110A" w14:textId="77777777" w:rsidR="00607A68" w:rsidRPr="00607A68" w:rsidRDefault="00607A68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9860E7B" w14:textId="5A34AC15" w:rsidR="008A32BC" w:rsidRPr="00745040" w:rsidRDefault="008A32BC" w:rsidP="00EB4586">
      <w:pPr>
        <w:pStyle w:val="Akapitzlist"/>
        <w:numPr>
          <w:ilvl w:val="1"/>
          <w:numId w:val="1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Dane dotyczące dostawcy karty charakterystyki</w:t>
      </w:r>
    </w:p>
    <w:p w14:paraId="3439C208" w14:textId="2A46CE5A" w:rsidR="002967F9" w:rsidRPr="00745040" w:rsidRDefault="002967F9" w:rsidP="00EB4586">
      <w:pPr>
        <w:pStyle w:val="Akapitzlist"/>
        <w:spacing w:after="0" w:line="276" w:lineRule="auto"/>
        <w:ind w:left="0"/>
        <w:rPr>
          <w:rFonts w:ascii="Calibri" w:hAnsi="Calibri" w:cs="Calibri"/>
          <w:sz w:val="22"/>
          <w:szCs w:val="22"/>
          <w:lang w:val="en-GB"/>
        </w:rPr>
      </w:pPr>
      <w:r w:rsidRPr="00745040">
        <w:rPr>
          <w:rFonts w:ascii="Calibri" w:hAnsi="Calibri" w:cs="Calibri"/>
          <w:sz w:val="22"/>
          <w:szCs w:val="22"/>
          <w:lang w:val="en-GB"/>
        </w:rPr>
        <w:t>Producent: Big Nature sp. z o.o.</w:t>
      </w:r>
    </w:p>
    <w:p w14:paraId="0521A116" w14:textId="0BDE311C" w:rsidR="002967F9" w:rsidRPr="00745040" w:rsidRDefault="002967F9" w:rsidP="00EB4586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Adres: ul. Warszawska 12a</w:t>
      </w:r>
      <w:r w:rsidR="0021033F" w:rsidRPr="00745040">
        <w:rPr>
          <w:rFonts w:ascii="Calibri" w:hAnsi="Calibri" w:cs="Calibri"/>
          <w:sz w:val="22"/>
          <w:szCs w:val="22"/>
        </w:rPr>
        <w:t>,</w:t>
      </w:r>
      <w:r w:rsidRPr="00745040">
        <w:rPr>
          <w:rFonts w:ascii="Calibri" w:hAnsi="Calibri" w:cs="Calibri"/>
          <w:sz w:val="22"/>
          <w:szCs w:val="22"/>
        </w:rPr>
        <w:t xml:space="preserve"> 05-152 Palmiry</w:t>
      </w:r>
    </w:p>
    <w:p w14:paraId="318B32AA" w14:textId="77777777" w:rsidR="00745040" w:rsidRPr="00745040" w:rsidRDefault="002967F9" w:rsidP="00EB4586">
      <w:pPr>
        <w:pStyle w:val="Akapitzlist"/>
        <w:spacing w:line="276" w:lineRule="auto"/>
        <w:ind w:left="0"/>
        <w:rPr>
          <w:rFonts w:ascii="Calibri" w:hAnsi="Calibri" w:cs="Calibri"/>
          <w:color w:val="EE0000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Telefon: </w:t>
      </w:r>
      <w:r w:rsidR="00745040" w:rsidRPr="00745040">
        <w:rPr>
          <w:rFonts w:ascii="Calibri" w:hAnsi="Calibri" w:cs="Calibri"/>
          <w:sz w:val="22"/>
          <w:szCs w:val="22"/>
        </w:rPr>
        <w:t>22-614-03-29</w:t>
      </w:r>
    </w:p>
    <w:p w14:paraId="5F4E17A7" w14:textId="5BB722A1" w:rsidR="002967F9" w:rsidRDefault="002967F9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  <w:lang w:val="en-GB"/>
        </w:rPr>
      </w:pPr>
      <w:r w:rsidRPr="00745040">
        <w:rPr>
          <w:rFonts w:ascii="Calibri" w:hAnsi="Calibri" w:cs="Calibri"/>
          <w:sz w:val="22"/>
          <w:szCs w:val="22"/>
          <w:lang w:val="en-GB"/>
        </w:rPr>
        <w:t xml:space="preserve">E-mail: </w:t>
      </w:r>
      <w:r w:rsidR="006C3F4E" w:rsidRPr="0009197E">
        <w:rPr>
          <w:rFonts w:ascii="Calibri" w:hAnsi="Calibri" w:cs="Calibri"/>
          <w:sz w:val="22"/>
          <w:szCs w:val="22"/>
          <w:lang w:val="en-GB"/>
        </w:rPr>
        <w:t>biuro@bignature.pl</w:t>
      </w:r>
    </w:p>
    <w:p w14:paraId="5166D505" w14:textId="77777777" w:rsidR="006C3F4E" w:rsidRPr="006C3F4E" w:rsidRDefault="006C3F4E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  <w:lang w:val="en-GB"/>
        </w:rPr>
      </w:pPr>
    </w:p>
    <w:p w14:paraId="5C27C4DB" w14:textId="08915AFE" w:rsidR="008A32BC" w:rsidRPr="00745040" w:rsidRDefault="008A32BC" w:rsidP="00EB4586">
      <w:pPr>
        <w:pStyle w:val="Akapitzlist"/>
        <w:numPr>
          <w:ilvl w:val="1"/>
          <w:numId w:val="1"/>
        </w:numPr>
        <w:spacing w:after="120" w:line="276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 xml:space="preserve">Numer </w:t>
      </w:r>
      <w:r w:rsidR="003F4294" w:rsidRPr="00745040">
        <w:rPr>
          <w:rFonts w:ascii="Calibri" w:hAnsi="Calibri" w:cs="Calibri"/>
          <w:b/>
          <w:bCs/>
        </w:rPr>
        <w:t>telefonu alarmowego</w:t>
      </w:r>
    </w:p>
    <w:p w14:paraId="749DC56B" w14:textId="77777777" w:rsidR="00EE25DA" w:rsidRDefault="002967F9" w:rsidP="00EE25DA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112 – ogólny numer alarmowy (czynny 24/7)</w:t>
      </w:r>
    </w:p>
    <w:p w14:paraId="5CE1CE9A" w14:textId="77777777" w:rsidR="006C3F4E" w:rsidRDefault="006C3F4E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6359845D" w14:textId="77777777" w:rsidR="00A66488" w:rsidRDefault="00A66488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2323DB8E" w14:textId="77777777" w:rsidR="00B2696B" w:rsidRDefault="00B2696B" w:rsidP="006C3F4E">
      <w:pPr>
        <w:pStyle w:val="Akapitzlist"/>
        <w:spacing w:after="120" w:line="24" w:lineRule="atLeast"/>
        <w:ind w:left="0"/>
        <w:rPr>
          <w:rFonts w:ascii="Calibri" w:hAnsi="Calibri" w:cs="Calibri"/>
          <w:b/>
          <w:bCs/>
          <w:sz w:val="26"/>
          <w:szCs w:val="26"/>
        </w:rPr>
      </w:pPr>
    </w:p>
    <w:p w14:paraId="45D4D078" w14:textId="023E17CE" w:rsidR="0021033F" w:rsidRPr="00EE25DA" w:rsidRDefault="00745040" w:rsidP="006C3F4E">
      <w:pPr>
        <w:pStyle w:val="Akapitzlist"/>
        <w:spacing w:after="120" w:line="24" w:lineRule="atLeast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lastRenderedPageBreak/>
        <w:t>SEKCJA 2: IDENTYFIKACJA ZAGROŻEŃ</w:t>
      </w:r>
    </w:p>
    <w:p w14:paraId="49FD5AB9" w14:textId="05DE0098" w:rsidR="0021033F" w:rsidRPr="00745040" w:rsidRDefault="002967F9" w:rsidP="006C3F4E">
      <w:pPr>
        <w:pStyle w:val="Akapitzlist"/>
        <w:numPr>
          <w:ilvl w:val="1"/>
          <w:numId w:val="5"/>
        </w:numPr>
        <w:spacing w:after="12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 xml:space="preserve">Klasyfikacja </w:t>
      </w:r>
      <w:r w:rsidR="0021033F" w:rsidRPr="00745040">
        <w:rPr>
          <w:rFonts w:ascii="Calibri" w:hAnsi="Calibri" w:cs="Calibri"/>
          <w:b/>
          <w:bCs/>
        </w:rPr>
        <w:t xml:space="preserve">substancji lub </w:t>
      </w:r>
      <w:r w:rsidRPr="00745040">
        <w:rPr>
          <w:rFonts w:ascii="Calibri" w:hAnsi="Calibri" w:cs="Calibri"/>
          <w:b/>
          <w:bCs/>
        </w:rPr>
        <w:t xml:space="preserve">mieszaniny </w:t>
      </w:r>
    </w:p>
    <w:p w14:paraId="28CDF7EF" w14:textId="2475212F" w:rsidR="002967F9" w:rsidRPr="00745040" w:rsidRDefault="0021033F" w:rsidP="00B2696B">
      <w:pPr>
        <w:pStyle w:val="Akapitzlist"/>
        <w:spacing w:after="120" w:line="24" w:lineRule="atLeast"/>
        <w:ind w:left="708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Z</w:t>
      </w:r>
      <w:r w:rsidR="002967F9" w:rsidRPr="00745040">
        <w:rPr>
          <w:rFonts w:ascii="Calibri" w:hAnsi="Calibri" w:cs="Calibri"/>
          <w:b/>
          <w:bCs/>
        </w:rPr>
        <w:t>godnie z Rozporządzeniem (WE) ni 1272/2008</w:t>
      </w:r>
      <w:r w:rsidRPr="00745040">
        <w:rPr>
          <w:rFonts w:ascii="Calibri" w:hAnsi="Calibri" w:cs="Calibri"/>
          <w:b/>
          <w:bCs/>
        </w:rPr>
        <w:t xml:space="preserve"> ze zmianami.</w:t>
      </w:r>
    </w:p>
    <w:p w14:paraId="19F24995" w14:textId="164D9CE7" w:rsidR="0021033F" w:rsidRPr="00745040" w:rsidRDefault="0021033F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Działanie drażniące na skórę. Kategoria 2 (Skin </w:t>
      </w:r>
      <w:proofErr w:type="spellStart"/>
      <w:r w:rsidRPr="00745040">
        <w:rPr>
          <w:rFonts w:ascii="Calibri" w:hAnsi="Calibri" w:cs="Calibri"/>
          <w:sz w:val="22"/>
          <w:szCs w:val="22"/>
        </w:rPr>
        <w:t>Irrit</w:t>
      </w:r>
      <w:proofErr w:type="spellEnd"/>
      <w:r w:rsidRPr="00745040">
        <w:rPr>
          <w:rFonts w:ascii="Calibri" w:hAnsi="Calibri" w:cs="Calibri"/>
          <w:sz w:val="22"/>
          <w:szCs w:val="22"/>
        </w:rPr>
        <w:t>. 2, H315)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55092778" w14:textId="7F49F892" w:rsidR="0021033F" w:rsidRPr="00745040" w:rsidRDefault="0021033F" w:rsidP="006C3F4E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Działanie drażniące na oczy, Kategoria 2 (</w:t>
      </w:r>
      <w:proofErr w:type="spellStart"/>
      <w:r w:rsidRPr="00745040">
        <w:rPr>
          <w:rFonts w:ascii="Calibri" w:hAnsi="Calibri" w:cs="Calibri"/>
          <w:sz w:val="22"/>
          <w:szCs w:val="22"/>
        </w:rPr>
        <w:t>Eye</w:t>
      </w:r>
      <w:proofErr w:type="spellEnd"/>
      <w:r w:rsidRPr="0074504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45040">
        <w:rPr>
          <w:rFonts w:ascii="Calibri" w:hAnsi="Calibri" w:cs="Calibri"/>
          <w:sz w:val="22"/>
          <w:szCs w:val="22"/>
        </w:rPr>
        <w:t>Irrit</w:t>
      </w:r>
      <w:proofErr w:type="spellEnd"/>
      <w:r w:rsidRPr="00745040">
        <w:rPr>
          <w:rFonts w:ascii="Calibri" w:hAnsi="Calibri" w:cs="Calibri"/>
          <w:sz w:val="22"/>
          <w:szCs w:val="22"/>
        </w:rPr>
        <w:t>. 2, H319)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63BB5F4F" w14:textId="2762D9E3" w:rsidR="0021033F" w:rsidRPr="00745040" w:rsidRDefault="0021033F" w:rsidP="006C3F4E">
      <w:pPr>
        <w:pStyle w:val="Akapitzlist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Działanie uczulające na skórę, Kategoria 1 (Skin Sens. 1, H317)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56DE6493" w14:textId="26A0951A" w:rsidR="007673EB" w:rsidRDefault="0021033F" w:rsidP="00EE25DA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Stwarzające zagrożenie dla środowiska wodnego – zagrożenie przewlekłe, Kategoria 3 (</w:t>
      </w:r>
      <w:proofErr w:type="spellStart"/>
      <w:r w:rsidRPr="00745040">
        <w:rPr>
          <w:rFonts w:ascii="Calibri" w:hAnsi="Calibri" w:cs="Calibri"/>
          <w:sz w:val="22"/>
          <w:szCs w:val="22"/>
        </w:rPr>
        <w:t>Aquatic</w:t>
      </w:r>
      <w:proofErr w:type="spellEnd"/>
      <w:r w:rsidRPr="0074504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45040">
        <w:rPr>
          <w:rFonts w:ascii="Calibri" w:hAnsi="Calibri" w:cs="Calibri"/>
          <w:sz w:val="22"/>
          <w:szCs w:val="22"/>
        </w:rPr>
        <w:t>Chronic</w:t>
      </w:r>
      <w:proofErr w:type="spellEnd"/>
      <w:r w:rsidRPr="00745040">
        <w:rPr>
          <w:rFonts w:ascii="Calibri" w:hAnsi="Calibri" w:cs="Calibri"/>
          <w:sz w:val="22"/>
          <w:szCs w:val="22"/>
        </w:rPr>
        <w:t xml:space="preserve"> 3, H412)</w:t>
      </w:r>
      <w:r w:rsidR="00672A8F" w:rsidRPr="00745040">
        <w:rPr>
          <w:rFonts w:ascii="Calibri" w:hAnsi="Calibri" w:cs="Calibri"/>
          <w:sz w:val="22"/>
          <w:szCs w:val="22"/>
        </w:rPr>
        <w:t>.</w:t>
      </w:r>
    </w:p>
    <w:p w14:paraId="780AB44B" w14:textId="77777777" w:rsidR="006C3F4E" w:rsidRPr="006C3F4E" w:rsidRDefault="006C3F4E" w:rsidP="006C3F4E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</w:p>
    <w:p w14:paraId="06F2EA30" w14:textId="53301533" w:rsidR="0021033F" w:rsidRPr="00745040" w:rsidRDefault="00672A8F" w:rsidP="006C3F4E">
      <w:pPr>
        <w:pStyle w:val="Akapitzlist"/>
        <w:numPr>
          <w:ilvl w:val="1"/>
          <w:numId w:val="5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Elementy oznakowania</w:t>
      </w:r>
    </w:p>
    <w:p w14:paraId="27DDC58C" w14:textId="5098717F" w:rsidR="00745040" w:rsidRPr="00745040" w:rsidRDefault="00672A8F" w:rsidP="006C3F4E">
      <w:p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Zgodnie z Rozporządzeniem (WE) ni 1272/2008 ze zmianami.</w:t>
      </w:r>
    </w:p>
    <w:p w14:paraId="4D359A27" w14:textId="7FA7AFFD" w:rsidR="00672A8F" w:rsidRPr="00745040" w:rsidRDefault="00672A8F" w:rsidP="00F00293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Piktogramy określające rodzaj zagrożenia:</w:t>
      </w:r>
    </w:p>
    <w:p w14:paraId="25079DC3" w14:textId="179D2DD2" w:rsidR="00672A8F" w:rsidRPr="00745040" w:rsidRDefault="00672A8F" w:rsidP="00F00293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B8DE0B7" wp14:editId="08BF5A95">
            <wp:extent cx="868680" cy="868680"/>
            <wp:effectExtent l="0" t="0" r="7620" b="7620"/>
            <wp:docPr id="79635813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1FA8A" w14:textId="5617337A" w:rsidR="00672A8F" w:rsidRDefault="00672A8F" w:rsidP="00F00293">
      <w:pPr>
        <w:pStyle w:val="Akapitzlist"/>
        <w:spacing w:after="120" w:line="276" w:lineRule="auto"/>
        <w:ind w:left="0" w:firstLine="30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GHS07</w:t>
      </w:r>
    </w:p>
    <w:p w14:paraId="206EB069" w14:textId="77777777" w:rsidR="002B55E0" w:rsidRDefault="002B55E0" w:rsidP="002B55E0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F79FE04" wp14:editId="34CBC7DE">
            <wp:extent cx="933450" cy="933450"/>
            <wp:effectExtent l="0" t="0" r="0" b="0"/>
            <wp:docPr id="1070947105" name="Obraz 1" descr="Obraz zawierający symbol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47105" name="Obraz 1" descr="Obraz zawierający symbol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6CDB7" w14:textId="387E1439" w:rsidR="002B55E0" w:rsidRPr="002B55E0" w:rsidRDefault="002B55E0" w:rsidP="002B55E0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GHS09</w:t>
      </w:r>
    </w:p>
    <w:p w14:paraId="18BFD5D4" w14:textId="77777777" w:rsidR="00672A8F" w:rsidRPr="00745040" w:rsidRDefault="00672A8F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</w:p>
    <w:p w14:paraId="694DD51E" w14:textId="48A1BFF0" w:rsidR="00672A8F" w:rsidRPr="00745040" w:rsidRDefault="00672A8F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Hasło ostrzegawcze:</w:t>
      </w:r>
    </w:p>
    <w:p w14:paraId="569C8631" w14:textId="204E6D83" w:rsidR="00920847" w:rsidRPr="00EE25DA" w:rsidRDefault="00672A8F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UWAGA</w:t>
      </w:r>
    </w:p>
    <w:p w14:paraId="277981EC" w14:textId="7EADA296" w:rsidR="00F91309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Zwroty wskazujące rodzaj zagrożenia:</w:t>
      </w:r>
    </w:p>
    <w:p w14:paraId="3DE75B80" w14:textId="5C38A11D" w:rsidR="00F91309" w:rsidRPr="00745040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H315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Działa drażniąco na skórę.</w:t>
      </w:r>
    </w:p>
    <w:p w14:paraId="68479744" w14:textId="1202210F" w:rsidR="00920847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H317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Może powodować reakcję alergiczną skóry.</w:t>
      </w:r>
    </w:p>
    <w:p w14:paraId="0D38B25C" w14:textId="4B746528" w:rsidR="00F91309" w:rsidRDefault="00F91309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H319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Działa drażniąco na oczy.</w:t>
      </w:r>
    </w:p>
    <w:p w14:paraId="7C8891BE" w14:textId="39DFD967" w:rsidR="00920847" w:rsidRPr="00EE25DA" w:rsidRDefault="00F91309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H412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  <w:t>Działa szkodliwie na organizmy wodne, powodując długotrwałe skutki.</w:t>
      </w:r>
    </w:p>
    <w:p w14:paraId="595CA1B5" w14:textId="0A061923" w:rsidR="00FD35BB" w:rsidRPr="00745040" w:rsidRDefault="00FD35BB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Zwroty wskazujące środki ostrożności – Reagowanie:</w:t>
      </w:r>
    </w:p>
    <w:p w14:paraId="37DF6A1D" w14:textId="365362D9" w:rsidR="00FD35BB" w:rsidRPr="00745040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P302+P352 </w:t>
      </w:r>
      <w:r w:rsidRPr="00745040">
        <w:rPr>
          <w:rFonts w:ascii="Calibri" w:hAnsi="Calibri" w:cs="Calibri"/>
          <w:sz w:val="22"/>
          <w:szCs w:val="22"/>
        </w:rPr>
        <w:tab/>
        <w:t>W przypadku kontaktu ze skórą: umyć dużą ilością wody.</w:t>
      </w:r>
    </w:p>
    <w:p w14:paraId="332CAB06" w14:textId="66021A25" w:rsidR="00FD35BB" w:rsidRPr="00745040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P305+P351+P338 </w:t>
      </w:r>
      <w:r w:rsidRPr="00745040">
        <w:rPr>
          <w:rFonts w:ascii="Calibri" w:hAnsi="Calibri" w:cs="Calibri"/>
          <w:sz w:val="22"/>
          <w:szCs w:val="22"/>
        </w:rPr>
        <w:tab/>
        <w:t xml:space="preserve">W przypadku dostania się do oczu: ostrożnie płukać wodą przez kilka minut. Wyjąć soczewki kontaktowe, jeżeli są i można je łatwo usunąć. Nadal płukać. </w:t>
      </w:r>
    </w:p>
    <w:p w14:paraId="6B734434" w14:textId="5730CCBF" w:rsidR="00FD35BB" w:rsidRPr="00745040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P333+P313 </w:t>
      </w:r>
      <w:r w:rsidRPr="00745040">
        <w:rPr>
          <w:rFonts w:ascii="Calibri" w:hAnsi="Calibri" w:cs="Calibri"/>
          <w:sz w:val="22"/>
          <w:szCs w:val="22"/>
        </w:rPr>
        <w:tab/>
        <w:t>W przypadku wystąpienia podrażnienia skóry lub wysypki:</w:t>
      </w:r>
      <w:r w:rsidR="00920847" w:rsidRPr="00745040">
        <w:rPr>
          <w:rFonts w:ascii="Calibri" w:hAnsi="Calibri" w:cs="Calibri"/>
          <w:sz w:val="22"/>
          <w:szCs w:val="22"/>
        </w:rPr>
        <w:t xml:space="preserve"> Zasięgnąć porady/ zgłosić się pod opiekę lekarza.</w:t>
      </w:r>
    </w:p>
    <w:p w14:paraId="6C183D28" w14:textId="61AC3566" w:rsidR="00920847" w:rsidRPr="00EE25DA" w:rsidRDefault="00FD35BB" w:rsidP="00F00293">
      <w:pPr>
        <w:pStyle w:val="Akapitzlist"/>
        <w:spacing w:after="120" w:line="276" w:lineRule="auto"/>
        <w:ind w:left="3132" w:hanging="2820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P337+P313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  <w:t>W przypadku utrzymywania się podrażnienia oczu: skontaktować się z lekarzem.</w:t>
      </w:r>
    </w:p>
    <w:p w14:paraId="21229035" w14:textId="2DF2332C" w:rsidR="00FD35BB" w:rsidRPr="00745040" w:rsidRDefault="00FD35BB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Zwroty wskazujące środki ostrożności – Usuwanie:</w:t>
      </w:r>
    </w:p>
    <w:p w14:paraId="6E20E58B" w14:textId="54761581" w:rsidR="00920847" w:rsidRDefault="00FD35BB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P501</w:t>
      </w:r>
      <w:r w:rsidR="00920847" w:rsidRPr="00745040">
        <w:rPr>
          <w:rFonts w:ascii="Calibri" w:hAnsi="Calibri" w:cs="Calibri"/>
          <w:sz w:val="22"/>
          <w:szCs w:val="22"/>
        </w:rPr>
        <w:t xml:space="preserve"> </w:t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920847" w:rsidRPr="00745040">
        <w:rPr>
          <w:rFonts w:ascii="Calibri" w:hAnsi="Calibri" w:cs="Calibri"/>
          <w:sz w:val="22"/>
          <w:szCs w:val="22"/>
        </w:rPr>
        <w:tab/>
      </w:r>
      <w:r w:rsidR="00B2696B">
        <w:rPr>
          <w:rFonts w:ascii="Calibri" w:hAnsi="Calibri" w:cs="Calibri"/>
          <w:sz w:val="22"/>
          <w:szCs w:val="22"/>
        </w:rPr>
        <w:t xml:space="preserve">      </w:t>
      </w:r>
      <w:r w:rsidR="00920847" w:rsidRPr="00745040">
        <w:rPr>
          <w:rFonts w:ascii="Calibri" w:hAnsi="Calibri" w:cs="Calibri"/>
          <w:sz w:val="22"/>
          <w:szCs w:val="22"/>
        </w:rPr>
        <w:t>Usuwać zawartość/pojemnik zgodnie z przepisami</w:t>
      </w:r>
      <w:r w:rsidR="00EE25DA">
        <w:rPr>
          <w:rFonts w:ascii="Calibri" w:hAnsi="Calibri" w:cs="Calibri"/>
          <w:sz w:val="22"/>
          <w:szCs w:val="22"/>
        </w:rPr>
        <w:t>.</w:t>
      </w:r>
    </w:p>
    <w:p w14:paraId="23E9010E" w14:textId="77777777" w:rsidR="00F516E1" w:rsidRDefault="00F516E1" w:rsidP="00F00293">
      <w:pPr>
        <w:pStyle w:val="Akapitzlist"/>
        <w:spacing w:after="120" w:line="276" w:lineRule="auto"/>
        <w:ind w:left="312"/>
        <w:rPr>
          <w:rFonts w:ascii="Calibri" w:hAnsi="Calibri" w:cs="Calibri"/>
          <w:sz w:val="22"/>
          <w:szCs w:val="22"/>
        </w:rPr>
      </w:pPr>
    </w:p>
    <w:p w14:paraId="27E633D5" w14:textId="77777777" w:rsidR="00EE25DA" w:rsidRPr="00745040" w:rsidRDefault="00EE25DA" w:rsidP="006C3F4E">
      <w:pPr>
        <w:pStyle w:val="Akapitzlist"/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79777CC9" w14:textId="45DE3155" w:rsidR="00920847" w:rsidRPr="00745040" w:rsidRDefault="00FD35BB" w:rsidP="006C3F4E">
      <w:pPr>
        <w:pStyle w:val="Akapitzlist"/>
        <w:numPr>
          <w:ilvl w:val="1"/>
          <w:numId w:val="5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lastRenderedPageBreak/>
        <w:t>Inne zagrożeni</w:t>
      </w:r>
      <w:r w:rsidR="00920847" w:rsidRPr="00745040">
        <w:rPr>
          <w:rFonts w:ascii="Calibri" w:hAnsi="Calibri" w:cs="Calibri"/>
          <w:b/>
          <w:bCs/>
        </w:rPr>
        <w:t>a</w:t>
      </w:r>
    </w:p>
    <w:p w14:paraId="33F1E02C" w14:textId="654C1583" w:rsidR="00920847" w:rsidRPr="00745040" w:rsidRDefault="00920847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Mieszanina nie spełnia kryteriów PBT (</w:t>
      </w:r>
      <w:proofErr w:type="spellStart"/>
      <w:r w:rsidRPr="00745040">
        <w:rPr>
          <w:rFonts w:ascii="Calibri" w:hAnsi="Calibri" w:cs="Calibri"/>
          <w:sz w:val="22"/>
          <w:szCs w:val="22"/>
        </w:rPr>
        <w:t>Persistent</w:t>
      </w:r>
      <w:proofErr w:type="spellEnd"/>
      <w:r w:rsidRPr="00745040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745040">
        <w:rPr>
          <w:rFonts w:ascii="Calibri" w:hAnsi="Calibri" w:cs="Calibri"/>
          <w:sz w:val="22"/>
          <w:szCs w:val="22"/>
        </w:rPr>
        <w:t>Bioacc</w:t>
      </w:r>
      <w:r w:rsidR="00217A0A" w:rsidRPr="00745040">
        <w:rPr>
          <w:rFonts w:ascii="Calibri" w:hAnsi="Calibri" w:cs="Calibri"/>
          <w:sz w:val="22"/>
          <w:szCs w:val="22"/>
        </w:rPr>
        <w:t>umulative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Toxic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– trwałe,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bioakumulacyjne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i toksyczne) ani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vPvB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very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Persistent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very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Bioaccumulative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 xml:space="preserve"> – bardzo trwałe i bardzo </w:t>
      </w:r>
      <w:proofErr w:type="spellStart"/>
      <w:r w:rsidR="00217A0A" w:rsidRPr="00745040">
        <w:rPr>
          <w:rFonts w:ascii="Calibri" w:hAnsi="Calibri" w:cs="Calibri"/>
          <w:sz w:val="22"/>
          <w:szCs w:val="22"/>
        </w:rPr>
        <w:t>bioakumulacyjne</w:t>
      </w:r>
      <w:proofErr w:type="spellEnd"/>
      <w:r w:rsidR="00217A0A" w:rsidRPr="00745040">
        <w:rPr>
          <w:rFonts w:ascii="Calibri" w:hAnsi="Calibri" w:cs="Calibri"/>
          <w:sz w:val="22"/>
          <w:szCs w:val="22"/>
        </w:rPr>
        <w:t>) zgodnie z załącznikiem XIII rozporządzenia REACH.</w:t>
      </w:r>
    </w:p>
    <w:p w14:paraId="28552F08" w14:textId="1952770F" w:rsidR="00217A0A" w:rsidRPr="00745040" w:rsidRDefault="00217A0A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Na podstawie dostępnych danych wosk sojowy i większość składników kompozycji zapachowej nie wykazuje właściwości trwałej akumulacji w środowisku ani wysokiej toksyczności chronicznej.</w:t>
      </w:r>
    </w:p>
    <w:p w14:paraId="00367E7F" w14:textId="13D7D7F2" w:rsidR="00FE1E3A" w:rsidRPr="00205962" w:rsidRDefault="00217A0A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Podczas normalnego użytkowania świecy, w szczególności podczas spalania, mogą powstawać niewielkie ilości sadzy i produktów niecałkowitego spalania, których ilość wzrasta przy nieprawidłowej eksploatacji (np. zbyt długi knot, przeciągi, niewłaściwe gaszenie). Zaleca się zapewnienie dobrej wentylacji pomieszczenia podczas spalania świecy. </w:t>
      </w:r>
    </w:p>
    <w:p w14:paraId="6B64C6AF" w14:textId="0A5DF9C0" w:rsidR="007673EB" w:rsidRPr="00EE25DA" w:rsidRDefault="00745040" w:rsidP="00EE25DA">
      <w:pPr>
        <w:pStyle w:val="Akapitzlist"/>
        <w:spacing w:after="120" w:line="24" w:lineRule="atLeast"/>
        <w:ind w:left="0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3: SKŁAD/ INFORMACJA O SKŁADNIKACH</w:t>
      </w:r>
    </w:p>
    <w:p w14:paraId="282834EB" w14:textId="1D639F4E" w:rsidR="00FD35BB" w:rsidRPr="00745040" w:rsidRDefault="00FE1E3A" w:rsidP="00EE25DA">
      <w:pPr>
        <w:pStyle w:val="Akapitzlist"/>
        <w:numPr>
          <w:ilvl w:val="1"/>
          <w:numId w:val="7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Mieszaniny</w:t>
      </w:r>
    </w:p>
    <w:p w14:paraId="01B2D19D" w14:textId="0FA893D4" w:rsidR="00C95AC7" w:rsidRPr="00745040" w:rsidRDefault="00FE1E3A" w:rsidP="00EE25DA">
      <w:pPr>
        <w:spacing w:line="24" w:lineRule="atLeast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Wosk sojowy – substancja nieklasyfikowana</w:t>
      </w:r>
    </w:p>
    <w:p w14:paraId="5F311DB9" w14:textId="20A164AD" w:rsidR="00A6131E" w:rsidRPr="00745040" w:rsidRDefault="00FE1E3A" w:rsidP="00EE25DA">
      <w:pPr>
        <w:spacing w:line="240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Kompozycja zapachowa </w:t>
      </w:r>
      <w:r w:rsidR="00A66488">
        <w:rPr>
          <w:rFonts w:ascii="Calibri" w:hAnsi="Calibri" w:cs="Calibri"/>
          <w:sz w:val="22"/>
          <w:szCs w:val="22"/>
        </w:rPr>
        <w:t>Czekolada-Piernik</w:t>
      </w:r>
      <w:r w:rsidRPr="00745040">
        <w:rPr>
          <w:rFonts w:ascii="Calibri" w:hAnsi="Calibri" w:cs="Calibri"/>
          <w:sz w:val="22"/>
          <w:szCs w:val="22"/>
        </w:rPr>
        <w:t xml:space="preserve"> – komponenty niebezpieczne: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2"/>
        <w:gridCol w:w="1560"/>
        <w:gridCol w:w="1560"/>
        <w:gridCol w:w="1627"/>
        <w:gridCol w:w="1683"/>
      </w:tblGrid>
      <w:tr w:rsidR="00C95AC7" w:rsidRPr="00745040" w14:paraId="791FAA36" w14:textId="77777777" w:rsidTr="00920E13">
        <w:trPr>
          <w:jc w:val="center"/>
        </w:trPr>
        <w:tc>
          <w:tcPr>
            <w:tcW w:w="2642" w:type="dxa"/>
          </w:tcPr>
          <w:p w14:paraId="67F1B483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Nazwa składnika</w:t>
            </w:r>
          </w:p>
        </w:tc>
        <w:tc>
          <w:tcPr>
            <w:tcW w:w="1560" w:type="dxa"/>
          </w:tcPr>
          <w:p w14:paraId="3EA70558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Nr EC</w:t>
            </w:r>
          </w:p>
        </w:tc>
        <w:tc>
          <w:tcPr>
            <w:tcW w:w="1560" w:type="dxa"/>
          </w:tcPr>
          <w:p w14:paraId="2884CF32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Nr CAS</w:t>
            </w:r>
          </w:p>
        </w:tc>
        <w:tc>
          <w:tcPr>
            <w:tcW w:w="1627" w:type="dxa"/>
          </w:tcPr>
          <w:p w14:paraId="0A0D7CEC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Stężenie w świecy</w:t>
            </w:r>
          </w:p>
        </w:tc>
        <w:tc>
          <w:tcPr>
            <w:tcW w:w="1683" w:type="dxa"/>
          </w:tcPr>
          <w:p w14:paraId="427E0F59" w14:textId="77777777" w:rsidR="00C95AC7" w:rsidRPr="00745040" w:rsidRDefault="00C95AC7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45040">
              <w:rPr>
                <w:rFonts w:ascii="Calibri" w:hAnsi="Calibri" w:cs="Calibri"/>
                <w:sz w:val="22"/>
                <w:szCs w:val="22"/>
              </w:rPr>
              <w:t>Klasyfikacja CLP</w:t>
            </w:r>
          </w:p>
        </w:tc>
      </w:tr>
      <w:tr w:rsidR="00C95AC7" w:rsidRPr="00745040" w14:paraId="3BF84610" w14:textId="77777777" w:rsidTr="00920E13">
        <w:trPr>
          <w:jc w:val="center"/>
        </w:trPr>
        <w:tc>
          <w:tcPr>
            <w:tcW w:w="2642" w:type="dxa"/>
          </w:tcPr>
          <w:p w14:paraId="4ED1D480" w14:textId="1CC3145C" w:rsidR="00C95AC7" w:rsidRPr="00745040" w:rsidRDefault="00937188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Ethyl</w:t>
            </w:r>
            <w:proofErr w:type="spellEnd"/>
            <w:r w:rsidRPr="0093718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Maltol</w:t>
            </w:r>
            <w:proofErr w:type="spellEnd"/>
          </w:p>
        </w:tc>
        <w:tc>
          <w:tcPr>
            <w:tcW w:w="1560" w:type="dxa"/>
          </w:tcPr>
          <w:p w14:paraId="62D20824" w14:textId="0E8BB601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225-582-5</w:t>
            </w:r>
          </w:p>
        </w:tc>
        <w:tc>
          <w:tcPr>
            <w:tcW w:w="1560" w:type="dxa"/>
          </w:tcPr>
          <w:p w14:paraId="2E8F3E85" w14:textId="0152C367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4940-11-8</w:t>
            </w:r>
          </w:p>
        </w:tc>
        <w:tc>
          <w:tcPr>
            <w:tcW w:w="1627" w:type="dxa"/>
          </w:tcPr>
          <w:p w14:paraId="485E4E4E" w14:textId="0274E419" w:rsidR="00C95AC7" w:rsidRPr="00745040" w:rsidRDefault="009F03CF" w:rsidP="009F03CF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0.19–0.38%</w:t>
            </w:r>
          </w:p>
        </w:tc>
        <w:tc>
          <w:tcPr>
            <w:tcW w:w="1683" w:type="dxa"/>
          </w:tcPr>
          <w:p w14:paraId="64EEE5F1" w14:textId="3CE672C4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H302</w:t>
            </w:r>
          </w:p>
        </w:tc>
      </w:tr>
      <w:tr w:rsidR="00C95AC7" w:rsidRPr="00745040" w14:paraId="37F0570C" w14:textId="77777777" w:rsidTr="00920E13">
        <w:trPr>
          <w:jc w:val="center"/>
        </w:trPr>
        <w:tc>
          <w:tcPr>
            <w:tcW w:w="2642" w:type="dxa"/>
          </w:tcPr>
          <w:p w14:paraId="3EA4A2CA" w14:textId="3DFFCD57" w:rsidR="00C95AC7" w:rsidRPr="00745040" w:rsidRDefault="00937188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Ethyl</w:t>
            </w:r>
            <w:proofErr w:type="spellEnd"/>
            <w:r w:rsidRPr="0093718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Vanillin</w:t>
            </w:r>
            <w:proofErr w:type="spellEnd"/>
          </w:p>
        </w:tc>
        <w:tc>
          <w:tcPr>
            <w:tcW w:w="1560" w:type="dxa"/>
          </w:tcPr>
          <w:p w14:paraId="4D05E417" w14:textId="19C307CF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204-464-7</w:t>
            </w:r>
          </w:p>
        </w:tc>
        <w:tc>
          <w:tcPr>
            <w:tcW w:w="1560" w:type="dxa"/>
          </w:tcPr>
          <w:p w14:paraId="760C35D9" w14:textId="0957FB14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121-32-4</w:t>
            </w:r>
          </w:p>
        </w:tc>
        <w:tc>
          <w:tcPr>
            <w:tcW w:w="1627" w:type="dxa"/>
          </w:tcPr>
          <w:p w14:paraId="4D7AAA76" w14:textId="0CA5F1BE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0.19–0.38%</w:t>
            </w:r>
          </w:p>
        </w:tc>
        <w:tc>
          <w:tcPr>
            <w:tcW w:w="1683" w:type="dxa"/>
          </w:tcPr>
          <w:p w14:paraId="75EA489B" w14:textId="407100C8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H319</w:t>
            </w:r>
          </w:p>
        </w:tc>
      </w:tr>
      <w:tr w:rsidR="00C95AC7" w:rsidRPr="00745040" w14:paraId="05CBC54C" w14:textId="77777777" w:rsidTr="00920E13">
        <w:trPr>
          <w:jc w:val="center"/>
        </w:trPr>
        <w:tc>
          <w:tcPr>
            <w:tcW w:w="2642" w:type="dxa"/>
          </w:tcPr>
          <w:p w14:paraId="1A484133" w14:textId="4B060998" w:rsidR="00C95AC7" w:rsidRPr="00745040" w:rsidRDefault="00937188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37188">
              <w:rPr>
                <w:rFonts w:ascii="Calibri" w:hAnsi="Calibri" w:cs="Calibri"/>
                <w:sz w:val="22"/>
                <w:szCs w:val="22"/>
              </w:rPr>
              <w:t>p-</w:t>
            </w: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Methoxybenzaldehyde</w:t>
            </w:r>
            <w:proofErr w:type="spellEnd"/>
          </w:p>
        </w:tc>
        <w:tc>
          <w:tcPr>
            <w:tcW w:w="1560" w:type="dxa"/>
          </w:tcPr>
          <w:p w14:paraId="60FA1333" w14:textId="6A706A68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204-602-6</w:t>
            </w:r>
          </w:p>
        </w:tc>
        <w:tc>
          <w:tcPr>
            <w:tcW w:w="1560" w:type="dxa"/>
          </w:tcPr>
          <w:p w14:paraId="74BF64EA" w14:textId="10F74F73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123-11-5</w:t>
            </w:r>
          </w:p>
        </w:tc>
        <w:tc>
          <w:tcPr>
            <w:tcW w:w="1627" w:type="dxa"/>
          </w:tcPr>
          <w:p w14:paraId="6D8F5998" w14:textId="3ED05F9D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0.075–0.19%</w:t>
            </w:r>
          </w:p>
        </w:tc>
        <w:tc>
          <w:tcPr>
            <w:tcW w:w="1683" w:type="dxa"/>
          </w:tcPr>
          <w:p w14:paraId="2F6D0E56" w14:textId="56E5D1C2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H412</w:t>
            </w:r>
          </w:p>
        </w:tc>
      </w:tr>
      <w:tr w:rsidR="00C95AC7" w:rsidRPr="00745040" w14:paraId="4C3EB54B" w14:textId="77777777" w:rsidTr="00920E13">
        <w:trPr>
          <w:jc w:val="center"/>
        </w:trPr>
        <w:tc>
          <w:tcPr>
            <w:tcW w:w="2642" w:type="dxa"/>
          </w:tcPr>
          <w:p w14:paraId="755CB618" w14:textId="154799DD" w:rsidR="00C95AC7" w:rsidRPr="00745040" w:rsidRDefault="00937188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Geranyl</w:t>
            </w:r>
            <w:proofErr w:type="spellEnd"/>
            <w:r w:rsidRPr="0093718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Acetate</w:t>
            </w:r>
            <w:proofErr w:type="spellEnd"/>
          </w:p>
        </w:tc>
        <w:tc>
          <w:tcPr>
            <w:tcW w:w="1560" w:type="dxa"/>
          </w:tcPr>
          <w:p w14:paraId="00C2AD7C" w14:textId="383EA92E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203-341-5</w:t>
            </w:r>
          </w:p>
        </w:tc>
        <w:tc>
          <w:tcPr>
            <w:tcW w:w="1560" w:type="dxa"/>
          </w:tcPr>
          <w:p w14:paraId="47861DC7" w14:textId="1214B710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105-87-3</w:t>
            </w:r>
          </w:p>
        </w:tc>
        <w:tc>
          <w:tcPr>
            <w:tcW w:w="1627" w:type="dxa"/>
          </w:tcPr>
          <w:p w14:paraId="7F3129D1" w14:textId="2DCEEB05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1C1E2A05" w14:textId="12B32414" w:rsidR="00C95AC7" w:rsidRPr="00745040" w:rsidRDefault="009F03CF" w:rsidP="009F03CF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H315, H317, H412</w:t>
            </w:r>
          </w:p>
        </w:tc>
      </w:tr>
      <w:tr w:rsidR="00C95AC7" w:rsidRPr="00745040" w14:paraId="0536ACB9" w14:textId="77777777" w:rsidTr="00920E13">
        <w:trPr>
          <w:jc w:val="center"/>
        </w:trPr>
        <w:tc>
          <w:tcPr>
            <w:tcW w:w="2642" w:type="dxa"/>
          </w:tcPr>
          <w:p w14:paraId="1CBDCFEC" w14:textId="295C84E6" w:rsidR="00C95AC7" w:rsidRPr="00745040" w:rsidRDefault="00937188" w:rsidP="0093718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Diacetyl</w:t>
            </w:r>
            <w:proofErr w:type="spellEnd"/>
          </w:p>
        </w:tc>
        <w:tc>
          <w:tcPr>
            <w:tcW w:w="1560" w:type="dxa"/>
          </w:tcPr>
          <w:p w14:paraId="38DE43C3" w14:textId="1B659347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207-069-8</w:t>
            </w:r>
          </w:p>
        </w:tc>
        <w:tc>
          <w:tcPr>
            <w:tcW w:w="1560" w:type="dxa"/>
          </w:tcPr>
          <w:p w14:paraId="41DA5E11" w14:textId="432B4122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431-03-8</w:t>
            </w:r>
          </w:p>
        </w:tc>
        <w:tc>
          <w:tcPr>
            <w:tcW w:w="1627" w:type="dxa"/>
          </w:tcPr>
          <w:p w14:paraId="71577DED" w14:textId="455525F0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4486DF70" w14:textId="5C976C93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H225, H302, H315, H317, H318, H331, H373</w:t>
            </w:r>
          </w:p>
        </w:tc>
      </w:tr>
      <w:tr w:rsidR="00C95AC7" w:rsidRPr="00745040" w14:paraId="4F91F168" w14:textId="77777777" w:rsidTr="00920E13">
        <w:trPr>
          <w:jc w:val="center"/>
        </w:trPr>
        <w:tc>
          <w:tcPr>
            <w:tcW w:w="2642" w:type="dxa"/>
          </w:tcPr>
          <w:p w14:paraId="1D8CF14D" w14:textId="61E72EAF" w:rsidR="00C95AC7" w:rsidRPr="00745040" w:rsidRDefault="00937188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Cinnamal</w:t>
            </w:r>
            <w:proofErr w:type="spellEnd"/>
          </w:p>
        </w:tc>
        <w:tc>
          <w:tcPr>
            <w:tcW w:w="1560" w:type="dxa"/>
          </w:tcPr>
          <w:p w14:paraId="4311E460" w14:textId="07CC477E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203-213-9</w:t>
            </w:r>
          </w:p>
        </w:tc>
        <w:tc>
          <w:tcPr>
            <w:tcW w:w="1560" w:type="dxa"/>
          </w:tcPr>
          <w:p w14:paraId="207302B4" w14:textId="3E0A530F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104-55-2</w:t>
            </w:r>
          </w:p>
        </w:tc>
        <w:tc>
          <w:tcPr>
            <w:tcW w:w="1627" w:type="dxa"/>
          </w:tcPr>
          <w:p w14:paraId="773B8655" w14:textId="36333DB7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0.19–0.38%</w:t>
            </w:r>
          </w:p>
        </w:tc>
        <w:tc>
          <w:tcPr>
            <w:tcW w:w="1683" w:type="dxa"/>
          </w:tcPr>
          <w:p w14:paraId="419D6E01" w14:textId="4D131775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H312, H315, H317, H319, H412</w:t>
            </w:r>
          </w:p>
        </w:tc>
      </w:tr>
      <w:tr w:rsidR="00C95AC7" w:rsidRPr="00745040" w14:paraId="1CF52950" w14:textId="77777777" w:rsidTr="00920E13">
        <w:trPr>
          <w:jc w:val="center"/>
        </w:trPr>
        <w:tc>
          <w:tcPr>
            <w:tcW w:w="2642" w:type="dxa"/>
          </w:tcPr>
          <w:p w14:paraId="2CE702D7" w14:textId="6FF2C468" w:rsidR="00C95AC7" w:rsidRPr="00745040" w:rsidRDefault="00937188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37188">
              <w:rPr>
                <w:rFonts w:ascii="Calibri" w:hAnsi="Calibri" w:cs="Calibri"/>
                <w:sz w:val="22"/>
                <w:szCs w:val="22"/>
              </w:rPr>
              <w:t>Eugenol</w:t>
            </w:r>
          </w:p>
        </w:tc>
        <w:tc>
          <w:tcPr>
            <w:tcW w:w="1560" w:type="dxa"/>
          </w:tcPr>
          <w:p w14:paraId="3564C6B3" w14:textId="4CA5F289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202-589-1</w:t>
            </w:r>
          </w:p>
        </w:tc>
        <w:tc>
          <w:tcPr>
            <w:tcW w:w="1560" w:type="dxa"/>
          </w:tcPr>
          <w:p w14:paraId="76279DA3" w14:textId="4C8F0CC9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97-53-0</w:t>
            </w:r>
          </w:p>
        </w:tc>
        <w:tc>
          <w:tcPr>
            <w:tcW w:w="1627" w:type="dxa"/>
          </w:tcPr>
          <w:p w14:paraId="68D76388" w14:textId="2BDBFEBB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0.075–0.19%</w:t>
            </w:r>
          </w:p>
        </w:tc>
        <w:tc>
          <w:tcPr>
            <w:tcW w:w="1683" w:type="dxa"/>
          </w:tcPr>
          <w:p w14:paraId="2A125936" w14:textId="02FD8142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H317, H319</w:t>
            </w:r>
          </w:p>
        </w:tc>
      </w:tr>
      <w:tr w:rsidR="00C95AC7" w:rsidRPr="00745040" w14:paraId="078D677B" w14:textId="77777777" w:rsidTr="00920E13">
        <w:trPr>
          <w:jc w:val="center"/>
        </w:trPr>
        <w:tc>
          <w:tcPr>
            <w:tcW w:w="2642" w:type="dxa"/>
          </w:tcPr>
          <w:p w14:paraId="043E9A7D" w14:textId="25F2F630" w:rsidR="00C95AC7" w:rsidRPr="00745040" w:rsidRDefault="00937188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Coumarin</w:t>
            </w:r>
            <w:proofErr w:type="spellEnd"/>
          </w:p>
        </w:tc>
        <w:tc>
          <w:tcPr>
            <w:tcW w:w="1560" w:type="dxa"/>
          </w:tcPr>
          <w:p w14:paraId="70B95844" w14:textId="66F5DCD5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202-086-7</w:t>
            </w:r>
          </w:p>
        </w:tc>
        <w:tc>
          <w:tcPr>
            <w:tcW w:w="1560" w:type="dxa"/>
          </w:tcPr>
          <w:p w14:paraId="117C2503" w14:textId="23FCF946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91-64-5</w:t>
            </w:r>
          </w:p>
        </w:tc>
        <w:tc>
          <w:tcPr>
            <w:tcW w:w="1627" w:type="dxa"/>
          </w:tcPr>
          <w:p w14:paraId="62A4A4C0" w14:textId="0677D94C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61515096" w14:textId="5843C81F" w:rsidR="00C95AC7" w:rsidRPr="00745040" w:rsidRDefault="009F03CF" w:rsidP="00B8529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H302, H317</w:t>
            </w:r>
          </w:p>
        </w:tc>
      </w:tr>
      <w:tr w:rsidR="00C95AC7" w:rsidRPr="00745040" w14:paraId="21D59E02" w14:textId="77777777" w:rsidTr="00920E13">
        <w:trPr>
          <w:jc w:val="center"/>
        </w:trPr>
        <w:tc>
          <w:tcPr>
            <w:tcW w:w="2642" w:type="dxa"/>
          </w:tcPr>
          <w:p w14:paraId="32920226" w14:textId="34C305E9" w:rsidR="00C95AC7" w:rsidRPr="00745040" w:rsidRDefault="00937188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Cinnamyl</w:t>
            </w:r>
            <w:proofErr w:type="spellEnd"/>
            <w:r w:rsidRPr="0093718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Alcohol</w:t>
            </w:r>
            <w:proofErr w:type="spellEnd"/>
          </w:p>
        </w:tc>
        <w:tc>
          <w:tcPr>
            <w:tcW w:w="1560" w:type="dxa"/>
          </w:tcPr>
          <w:p w14:paraId="26694964" w14:textId="56B80AE3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203-212-3</w:t>
            </w:r>
          </w:p>
        </w:tc>
        <w:tc>
          <w:tcPr>
            <w:tcW w:w="1560" w:type="dxa"/>
          </w:tcPr>
          <w:p w14:paraId="30315626" w14:textId="505FD897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104-54-1</w:t>
            </w:r>
          </w:p>
        </w:tc>
        <w:tc>
          <w:tcPr>
            <w:tcW w:w="1627" w:type="dxa"/>
          </w:tcPr>
          <w:p w14:paraId="6FC2BAF5" w14:textId="2361E4AD" w:rsidR="00C95AC7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1C8B29F7" w14:textId="7B4E51F8" w:rsidR="00C95AC7" w:rsidRPr="00745040" w:rsidRDefault="009F03CF" w:rsidP="009F03CF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H302, H317</w:t>
            </w:r>
          </w:p>
        </w:tc>
      </w:tr>
      <w:tr w:rsidR="00937188" w:rsidRPr="00745040" w14:paraId="136AB027" w14:textId="77777777" w:rsidTr="00920E13">
        <w:trPr>
          <w:jc w:val="center"/>
        </w:trPr>
        <w:tc>
          <w:tcPr>
            <w:tcW w:w="2642" w:type="dxa"/>
          </w:tcPr>
          <w:p w14:paraId="2F82D8A2" w14:textId="524D3811" w:rsidR="00937188" w:rsidRPr="00937188" w:rsidRDefault="00937188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Methyl</w:t>
            </w:r>
            <w:proofErr w:type="spellEnd"/>
            <w:r w:rsidRPr="0093718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Cinnamate</w:t>
            </w:r>
            <w:proofErr w:type="spellEnd"/>
          </w:p>
        </w:tc>
        <w:tc>
          <w:tcPr>
            <w:tcW w:w="1560" w:type="dxa"/>
          </w:tcPr>
          <w:p w14:paraId="49BD959E" w14:textId="6DF038D9" w:rsidR="00937188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203-093-8</w:t>
            </w:r>
          </w:p>
        </w:tc>
        <w:tc>
          <w:tcPr>
            <w:tcW w:w="1560" w:type="dxa"/>
          </w:tcPr>
          <w:p w14:paraId="0921B547" w14:textId="5FEFB63C" w:rsidR="00937188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103-26-4</w:t>
            </w:r>
          </w:p>
        </w:tc>
        <w:tc>
          <w:tcPr>
            <w:tcW w:w="1627" w:type="dxa"/>
          </w:tcPr>
          <w:p w14:paraId="6D342754" w14:textId="45CEDA77" w:rsidR="00937188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04D5A6BF" w14:textId="7723586F" w:rsidR="00937188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H317</w:t>
            </w:r>
          </w:p>
        </w:tc>
      </w:tr>
      <w:tr w:rsidR="00937188" w:rsidRPr="00745040" w14:paraId="3FA4F273" w14:textId="77777777" w:rsidTr="00920E13">
        <w:trPr>
          <w:jc w:val="center"/>
        </w:trPr>
        <w:tc>
          <w:tcPr>
            <w:tcW w:w="2642" w:type="dxa"/>
          </w:tcPr>
          <w:p w14:paraId="7E0935FC" w14:textId="05BEF56F" w:rsidR="00937188" w:rsidRPr="00937188" w:rsidRDefault="00937188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937188">
              <w:rPr>
                <w:rFonts w:ascii="Calibri" w:hAnsi="Calibri" w:cs="Calibri"/>
                <w:sz w:val="22"/>
                <w:szCs w:val="22"/>
              </w:rPr>
              <w:t>Citral</w:t>
            </w:r>
            <w:proofErr w:type="spellEnd"/>
          </w:p>
        </w:tc>
        <w:tc>
          <w:tcPr>
            <w:tcW w:w="1560" w:type="dxa"/>
          </w:tcPr>
          <w:p w14:paraId="4268F264" w14:textId="169D1C5A" w:rsidR="00937188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226-394-6</w:t>
            </w:r>
          </w:p>
        </w:tc>
        <w:tc>
          <w:tcPr>
            <w:tcW w:w="1560" w:type="dxa"/>
          </w:tcPr>
          <w:p w14:paraId="4F27CB42" w14:textId="5B410A72" w:rsidR="00937188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5392-40-5</w:t>
            </w:r>
          </w:p>
        </w:tc>
        <w:tc>
          <w:tcPr>
            <w:tcW w:w="1627" w:type="dxa"/>
          </w:tcPr>
          <w:p w14:paraId="44AD7027" w14:textId="21CC469E" w:rsidR="00937188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4CB46574" w14:textId="614321F1" w:rsidR="00937188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H315, H317, H318</w:t>
            </w:r>
          </w:p>
        </w:tc>
      </w:tr>
      <w:tr w:rsidR="00937188" w:rsidRPr="00745040" w14:paraId="2D32B7B2" w14:textId="77777777" w:rsidTr="00920E13">
        <w:trPr>
          <w:jc w:val="center"/>
        </w:trPr>
        <w:tc>
          <w:tcPr>
            <w:tcW w:w="2642" w:type="dxa"/>
          </w:tcPr>
          <w:p w14:paraId="1ECBE81C" w14:textId="4C9A4249" w:rsidR="00937188" w:rsidRPr="00937188" w:rsidRDefault="00937188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37188">
              <w:rPr>
                <w:rFonts w:ascii="Calibri" w:hAnsi="Calibri" w:cs="Calibri"/>
                <w:sz w:val="22"/>
                <w:szCs w:val="22"/>
              </w:rPr>
              <w:t>Geraniol</w:t>
            </w:r>
          </w:p>
        </w:tc>
        <w:tc>
          <w:tcPr>
            <w:tcW w:w="1560" w:type="dxa"/>
          </w:tcPr>
          <w:p w14:paraId="0F944242" w14:textId="20A50F07" w:rsidR="00937188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203-377-1</w:t>
            </w:r>
          </w:p>
        </w:tc>
        <w:tc>
          <w:tcPr>
            <w:tcW w:w="1560" w:type="dxa"/>
          </w:tcPr>
          <w:p w14:paraId="45BE8769" w14:textId="69D02ABF" w:rsidR="00937188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106-24-1</w:t>
            </w:r>
          </w:p>
        </w:tc>
        <w:tc>
          <w:tcPr>
            <w:tcW w:w="1627" w:type="dxa"/>
          </w:tcPr>
          <w:p w14:paraId="395DB225" w14:textId="3BD61E18" w:rsidR="00937188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>&lt;0.075%</w:t>
            </w:r>
          </w:p>
        </w:tc>
        <w:tc>
          <w:tcPr>
            <w:tcW w:w="1683" w:type="dxa"/>
          </w:tcPr>
          <w:p w14:paraId="5A87F79A" w14:textId="3A1890C1" w:rsidR="00937188" w:rsidRPr="00745040" w:rsidRDefault="009F03CF" w:rsidP="00920E1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9F03CF">
              <w:rPr>
                <w:rFonts w:ascii="Calibri" w:hAnsi="Calibri" w:cs="Calibri"/>
                <w:sz w:val="22"/>
                <w:szCs w:val="22"/>
              </w:rPr>
              <w:t xml:space="preserve">H226, H302, H304, H315, </w:t>
            </w:r>
            <w:r w:rsidRPr="009F03CF">
              <w:rPr>
                <w:rFonts w:ascii="Calibri" w:hAnsi="Calibri" w:cs="Calibri"/>
                <w:sz w:val="22"/>
                <w:szCs w:val="22"/>
              </w:rPr>
              <w:lastRenderedPageBreak/>
              <w:t>H317, H400, H410</w:t>
            </w:r>
          </w:p>
        </w:tc>
      </w:tr>
    </w:tbl>
    <w:p w14:paraId="3CF98D37" w14:textId="77777777" w:rsidR="00DC5DE7" w:rsidRDefault="00DC5DE7" w:rsidP="00EE25DA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</w:p>
    <w:p w14:paraId="17DC919B" w14:textId="7153F561" w:rsidR="00024E14" w:rsidRPr="00745040" w:rsidRDefault="00024E14" w:rsidP="00EE25DA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4: ŚRODKI PIERWSZEJ POMOCY</w:t>
      </w:r>
    </w:p>
    <w:p w14:paraId="522BB49E" w14:textId="78BE8A05" w:rsidR="000A5FCC" w:rsidRPr="00745040" w:rsidRDefault="00024E14" w:rsidP="00EE25DA">
      <w:pPr>
        <w:pStyle w:val="Akapitzlist"/>
        <w:numPr>
          <w:ilvl w:val="1"/>
          <w:numId w:val="9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Opis środków pierwszej pomocy</w:t>
      </w:r>
    </w:p>
    <w:p w14:paraId="1479A78A" w14:textId="31DA7301" w:rsidR="00264702" w:rsidRPr="00745040" w:rsidRDefault="00264702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Wdychanie:</w:t>
      </w:r>
    </w:p>
    <w:p w14:paraId="48EAC352" w14:textId="7DB21AD3" w:rsidR="00DC5DE7" w:rsidRDefault="00264702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Przenieść osobę na świeże powietrze i zapewnić jej spokój. W przypadku wystąpienia objawów takich jak zawroty głowy</w:t>
      </w:r>
      <w:r w:rsidR="000A5FCC" w:rsidRPr="00745040">
        <w:rPr>
          <w:rFonts w:ascii="Calibri" w:hAnsi="Calibri" w:cs="Calibri"/>
          <w:sz w:val="22"/>
          <w:szCs w:val="22"/>
        </w:rPr>
        <w:t>, podrażnienie dróg oddechowych lub duszność – skontaktować się z lekarzem. Wdychanie dymu powstającego podczas spalania może powodować podrażnienie.</w:t>
      </w:r>
    </w:p>
    <w:p w14:paraId="2A166593" w14:textId="77777777" w:rsidR="00205962" w:rsidRPr="00DC5DE7" w:rsidRDefault="00205962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430935B" w14:textId="39AAE7DB" w:rsidR="000A5FCC" w:rsidRPr="00745040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Kontakt ze skórą:</w:t>
      </w:r>
    </w:p>
    <w:p w14:paraId="4F01519E" w14:textId="688B801D" w:rsidR="000A5FCC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Umyć skórę wodą z łagodnym mydłem. Zdjąć zanieczyszczoną odzie</w:t>
      </w:r>
      <w:r w:rsidR="00B2696B">
        <w:rPr>
          <w:rFonts w:ascii="Calibri" w:hAnsi="Calibri" w:cs="Calibri"/>
          <w:sz w:val="22"/>
          <w:szCs w:val="22"/>
        </w:rPr>
        <w:t>ż</w:t>
      </w:r>
      <w:r w:rsidRPr="00745040">
        <w:rPr>
          <w:rFonts w:ascii="Calibri" w:hAnsi="Calibri" w:cs="Calibri"/>
          <w:sz w:val="22"/>
          <w:szCs w:val="22"/>
        </w:rPr>
        <w:t>. W przypadku wystąpienia zaczerwienienia, swędzenia lub wysypki – zasięgnąć pomocy medycznej. U osób wrażliwych składniki zapachowe mogą powodować reakcje alergiczne.</w:t>
      </w:r>
    </w:p>
    <w:p w14:paraId="5D92FDE9" w14:textId="77777777" w:rsidR="007673EB" w:rsidRPr="00745040" w:rsidRDefault="007673EB" w:rsidP="00EE25DA">
      <w:pPr>
        <w:spacing w:after="0" w:line="24" w:lineRule="atLeast"/>
        <w:rPr>
          <w:rFonts w:ascii="Calibri" w:hAnsi="Calibri" w:cs="Calibri"/>
          <w:sz w:val="22"/>
          <w:szCs w:val="22"/>
        </w:rPr>
      </w:pPr>
    </w:p>
    <w:p w14:paraId="233058DA" w14:textId="77777777" w:rsidR="00205962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Kontakt z oczami:</w:t>
      </w:r>
    </w:p>
    <w:p w14:paraId="5A22FC13" w14:textId="0EDBD969" w:rsidR="000A5FCC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Płukać oczy bieżącą wodą przez co najmniej 10-15 minut, trzymając powieki szeroko rozwarte. Jeżeli osoba nosi soczewki kontaktowe, zaleca się ich usunięcie po kilku minutach płukania. Jeśli podrażnienie utrzymuje się – zgłosić się do lekarza.</w:t>
      </w:r>
    </w:p>
    <w:p w14:paraId="688DB981" w14:textId="77777777" w:rsidR="00DC5DE7" w:rsidRPr="00DC5DE7" w:rsidRDefault="00DC5DE7" w:rsidP="00DC5DE7">
      <w:pPr>
        <w:spacing w:after="0" w:line="24" w:lineRule="atLeast"/>
        <w:rPr>
          <w:rFonts w:ascii="Calibri" w:hAnsi="Calibri" w:cs="Calibri"/>
          <w:sz w:val="22"/>
          <w:szCs w:val="22"/>
        </w:rPr>
      </w:pPr>
    </w:p>
    <w:p w14:paraId="61541620" w14:textId="1FF04B8D" w:rsidR="000A5FCC" w:rsidRPr="00745040" w:rsidRDefault="000A5FCC" w:rsidP="00DC5DE7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Połknięcie:</w:t>
      </w:r>
    </w:p>
    <w:p w14:paraId="2F8A0B83" w14:textId="221B56E6" w:rsidR="000A5FCC" w:rsidRPr="00745040" w:rsidRDefault="000A5FCC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Przepłukać usta wodą. Nie wywoływać wymiotów. W razie wystąpienia złego samopoczucia skontaktować się z lekarzem. Produkt w formie świecy nie jest przeznaczony do spożycia, połknięcie niewielkiej ilości stopionego wosku może spowodować dyskomfort żołądkowy.</w:t>
      </w:r>
    </w:p>
    <w:p w14:paraId="5E1FE22B" w14:textId="2C9D9988" w:rsidR="000A5FCC" w:rsidRPr="00745040" w:rsidRDefault="00264702" w:rsidP="00205962">
      <w:pPr>
        <w:pStyle w:val="Akapitzlist"/>
        <w:numPr>
          <w:ilvl w:val="1"/>
          <w:numId w:val="8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 xml:space="preserve">Najważniejsze </w:t>
      </w:r>
      <w:r w:rsidR="000A5FCC" w:rsidRPr="00745040">
        <w:rPr>
          <w:rFonts w:ascii="Calibri" w:hAnsi="Calibri" w:cs="Calibri"/>
          <w:b/>
          <w:bCs/>
        </w:rPr>
        <w:t>ostre i opóźnione objawy oraz skutki narażenia</w:t>
      </w:r>
    </w:p>
    <w:p w14:paraId="6B5B53A6" w14:textId="2AB104DD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Podrażnienie skóry (H315)</w:t>
      </w:r>
    </w:p>
    <w:p w14:paraId="7EF21461" w14:textId="26D620B8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Zaczerwienienie, pieczenie, świąd</w:t>
      </w:r>
    </w:p>
    <w:p w14:paraId="6CA0471D" w14:textId="15DB645A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 xml:space="preserve">Możliwe reakcje </w:t>
      </w:r>
      <w:r w:rsidR="00B2696B" w:rsidRPr="00745040">
        <w:rPr>
          <w:rFonts w:ascii="Calibri" w:hAnsi="Calibri" w:cs="Calibri"/>
          <w:sz w:val="22"/>
          <w:szCs w:val="22"/>
        </w:rPr>
        <w:t>alergiczne u</w:t>
      </w:r>
      <w:r w:rsidRPr="00745040">
        <w:rPr>
          <w:rFonts w:ascii="Calibri" w:hAnsi="Calibri" w:cs="Calibri"/>
          <w:sz w:val="22"/>
          <w:szCs w:val="22"/>
        </w:rPr>
        <w:t xml:space="preserve"> osób uczulonych (H317)</w:t>
      </w:r>
    </w:p>
    <w:p w14:paraId="3BD386F1" w14:textId="119E1108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Podrażnienie oczu: łzawienie, szczypanie, zaczerwienienie (H319)</w:t>
      </w:r>
    </w:p>
    <w:p w14:paraId="24A7BF77" w14:textId="0DA292D3" w:rsidR="000A5FCC" w:rsidRPr="00745040" w:rsidRDefault="000A5FCC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Podczas spalania mogą powstawać niewielkie ilości dymu i sadzy, które mogą podrażniać drogi oddechowe</w:t>
      </w:r>
    </w:p>
    <w:p w14:paraId="5D5BCF15" w14:textId="24F144FD" w:rsidR="000A5FCC" w:rsidRPr="005A76CA" w:rsidRDefault="000A5FCC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U osób nadwrażliwych objawy alergiczne mogą pojawić się z opóźnieniem (nawet po kilku godzinach).</w:t>
      </w:r>
    </w:p>
    <w:p w14:paraId="1DED9412" w14:textId="41E85F43" w:rsidR="00024E14" w:rsidRPr="00745040" w:rsidRDefault="00264702" w:rsidP="005A76CA">
      <w:pPr>
        <w:pStyle w:val="Akapitzlist"/>
        <w:numPr>
          <w:ilvl w:val="1"/>
          <w:numId w:val="8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Wskazania dotyczące wszelkiej natychmiastowej pomocy lekarskiej i</w:t>
      </w:r>
      <w:r w:rsidR="00920E13" w:rsidRPr="00745040">
        <w:rPr>
          <w:rFonts w:ascii="Calibri" w:hAnsi="Calibri" w:cs="Calibri"/>
          <w:b/>
          <w:bCs/>
        </w:rPr>
        <w:t xml:space="preserve"> </w:t>
      </w:r>
      <w:r w:rsidRPr="00745040">
        <w:rPr>
          <w:rFonts w:ascii="Calibri" w:hAnsi="Calibri" w:cs="Calibri"/>
          <w:b/>
          <w:bCs/>
        </w:rPr>
        <w:t>szczególnego postępowania z poszkodowanym</w:t>
      </w:r>
    </w:p>
    <w:p w14:paraId="07FE507C" w14:textId="0838A42E" w:rsidR="00024E14" w:rsidRPr="00745040" w:rsidRDefault="00264702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Leczenie objawowe.</w:t>
      </w:r>
    </w:p>
    <w:p w14:paraId="0C1FD2AE" w14:textId="1DFE4CA3" w:rsidR="005D6BAF" w:rsidRPr="00745040" w:rsidRDefault="005D6BAF" w:rsidP="00205962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Brak szczególnych środków ochronnych poza podstawowymi zasadami BHP.</w:t>
      </w:r>
    </w:p>
    <w:p w14:paraId="0C664C20" w14:textId="2427FE70" w:rsidR="007D32C4" w:rsidRDefault="005D6BAF" w:rsidP="005A76CA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 przypadku poważnych podrażnień, reakcji alergicznych lub trudności w oddychaniu natychmiast skontaktować się z lekarzem.</w:t>
      </w:r>
    </w:p>
    <w:p w14:paraId="2891EF40" w14:textId="3EE7D6D0" w:rsidR="00613415" w:rsidRPr="00DC5DE7" w:rsidRDefault="00745040" w:rsidP="00205962">
      <w:pPr>
        <w:spacing w:before="240" w:after="0" w:line="288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5: POSTĘPOWANIE W PRZYPADKU POŻARU</w:t>
      </w:r>
    </w:p>
    <w:p w14:paraId="562FF17E" w14:textId="77777777" w:rsidR="00DC5DE7" w:rsidRDefault="00613415" w:rsidP="00205962">
      <w:pPr>
        <w:pStyle w:val="Akapitzlist"/>
        <w:numPr>
          <w:ilvl w:val="1"/>
          <w:numId w:val="10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Środki gaśnicze</w:t>
      </w:r>
    </w:p>
    <w:p w14:paraId="4902405B" w14:textId="77777777" w:rsidR="00DC5DE7" w:rsidRDefault="00613415" w:rsidP="00205962">
      <w:pPr>
        <w:spacing w:after="0" w:line="276" w:lineRule="auto"/>
        <w:rPr>
          <w:rFonts w:ascii="Calibri" w:hAnsi="Calibri" w:cs="Calibri"/>
          <w:b/>
          <w:bCs/>
        </w:rPr>
      </w:pPr>
      <w:r w:rsidRPr="00DC5DE7">
        <w:rPr>
          <w:rFonts w:ascii="Calibri" w:hAnsi="Calibri" w:cs="Calibri"/>
          <w:sz w:val="22"/>
          <w:szCs w:val="22"/>
        </w:rPr>
        <w:t>Odpowiednie: CO₂, piana, proszek, mgła wodna</w:t>
      </w:r>
    </w:p>
    <w:p w14:paraId="556B0A00" w14:textId="34DB6892" w:rsidR="00607A68" w:rsidRPr="00607A68" w:rsidRDefault="00613415" w:rsidP="00205962">
      <w:pPr>
        <w:spacing w:after="120" w:line="276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sz w:val="22"/>
          <w:szCs w:val="22"/>
        </w:rPr>
        <w:t>Niewłaściwe: zwarty strumień wody</w:t>
      </w:r>
    </w:p>
    <w:p w14:paraId="7279625B" w14:textId="5C98E204" w:rsidR="00613415" w:rsidRPr="00745040" w:rsidRDefault="00613415" w:rsidP="00205962">
      <w:pPr>
        <w:pStyle w:val="Akapitzlist"/>
        <w:numPr>
          <w:ilvl w:val="1"/>
          <w:numId w:val="10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lastRenderedPageBreak/>
        <w:t>Szczególne zagrożenia podczas pożaru</w:t>
      </w:r>
    </w:p>
    <w:p w14:paraId="207A1634" w14:textId="15789439" w:rsidR="00613415" w:rsidRPr="00745040" w:rsidRDefault="00613415" w:rsidP="00607A68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Podczas spalania mogą wydzielać: tlenek węgla (CO), dwutlenek węgla (CO₂), aldehydy, sadza i drażniące dymy.</w:t>
      </w:r>
    </w:p>
    <w:p w14:paraId="5F32F4BB" w14:textId="1A34ABB3" w:rsidR="00607A68" w:rsidRPr="00607A68" w:rsidRDefault="00613415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Wysoka temperatura może powodować pęknięcie szkła pojemnika</w:t>
      </w:r>
      <w:r w:rsidR="00607A68">
        <w:rPr>
          <w:rFonts w:ascii="Calibri" w:hAnsi="Calibri" w:cs="Calibri"/>
          <w:sz w:val="22"/>
          <w:szCs w:val="22"/>
        </w:rPr>
        <w:t>.</w:t>
      </w:r>
    </w:p>
    <w:p w14:paraId="374DEC6A" w14:textId="77777777" w:rsidR="00607A68" w:rsidRDefault="00613415" w:rsidP="00205962">
      <w:pPr>
        <w:pStyle w:val="Akapitzlist"/>
        <w:numPr>
          <w:ilvl w:val="1"/>
          <w:numId w:val="10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Informacje dla straży pożarnej</w:t>
      </w:r>
    </w:p>
    <w:p w14:paraId="5D464ABE" w14:textId="77777777" w:rsidR="00607A68" w:rsidRDefault="00613415" w:rsidP="00205962">
      <w:pPr>
        <w:spacing w:after="0" w:line="276" w:lineRule="auto"/>
        <w:rPr>
          <w:rFonts w:ascii="Calibri" w:hAnsi="Calibri" w:cs="Calibri"/>
          <w:b/>
          <w:bCs/>
        </w:rPr>
      </w:pPr>
      <w:r w:rsidRPr="00607A68">
        <w:rPr>
          <w:rFonts w:ascii="Calibri" w:hAnsi="Calibri" w:cs="Calibri"/>
          <w:sz w:val="22"/>
          <w:szCs w:val="22"/>
        </w:rPr>
        <w:t>Nosić odzież ochronną odporną na chemikalia oraz aparat ochrony dróg oddechowych.</w:t>
      </w:r>
    </w:p>
    <w:p w14:paraId="3C77AD7B" w14:textId="6CAE3383" w:rsidR="007673EB" w:rsidRPr="00607A68" w:rsidRDefault="00613415" w:rsidP="00205962">
      <w:pPr>
        <w:spacing w:after="120" w:line="276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sz w:val="22"/>
          <w:szCs w:val="22"/>
        </w:rPr>
        <w:t>Schładzać pojemniki narażone na działanie ognia mgłą wodną.</w:t>
      </w:r>
    </w:p>
    <w:p w14:paraId="5F97F169" w14:textId="00214D27" w:rsidR="00613415" w:rsidRPr="00745040" w:rsidRDefault="00745040" w:rsidP="00205962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6: POSTĘPOWANIE W PRZYPADKU NIEZAMIERZONEGO UWOLNIENIA</w:t>
      </w:r>
    </w:p>
    <w:p w14:paraId="67AAC590" w14:textId="0D1BEEC3" w:rsidR="00613415" w:rsidRPr="00745040" w:rsidRDefault="00613415" w:rsidP="00205962">
      <w:pPr>
        <w:pStyle w:val="Akapitzlist"/>
        <w:numPr>
          <w:ilvl w:val="1"/>
          <w:numId w:val="11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Indywidualne środki ostrożności</w:t>
      </w:r>
    </w:p>
    <w:p w14:paraId="32ADD725" w14:textId="4F810AFE" w:rsidR="00B2696B" w:rsidRPr="00745040" w:rsidRDefault="00C004AE" w:rsidP="00205962">
      <w:pPr>
        <w:spacing w:after="120" w:line="276" w:lineRule="auto"/>
        <w:rPr>
          <w:rFonts w:ascii="Calibri" w:hAnsi="Calibri" w:cs="Calibri"/>
        </w:rPr>
      </w:pPr>
      <w:r w:rsidRPr="00745040">
        <w:rPr>
          <w:rFonts w:ascii="Calibri" w:hAnsi="Calibri" w:cs="Calibri"/>
          <w:sz w:val="22"/>
          <w:szCs w:val="22"/>
        </w:rPr>
        <w:t>Unikać kontaktu ze skórą i oczami.</w:t>
      </w:r>
      <w:r w:rsidRPr="00745040">
        <w:rPr>
          <w:rFonts w:ascii="Calibri" w:hAnsi="Calibri" w:cs="Calibri"/>
          <w:sz w:val="22"/>
          <w:szCs w:val="22"/>
        </w:rPr>
        <w:br/>
        <w:t>W przypadku rozlania stopionego wosku zabezpieczyć obszar przed poślizgnięciem.</w:t>
      </w:r>
      <w:r w:rsidRPr="00745040">
        <w:rPr>
          <w:rFonts w:ascii="Calibri" w:hAnsi="Calibri" w:cs="Calibri"/>
          <w:sz w:val="22"/>
          <w:szCs w:val="22"/>
        </w:rPr>
        <w:br/>
        <w:t>Pozwolić woskowi ostygnąć i stwardnieć przed usunięciem.</w:t>
      </w:r>
      <w:r w:rsidRPr="00745040">
        <w:rPr>
          <w:rFonts w:ascii="Calibri" w:hAnsi="Calibri" w:cs="Calibri"/>
          <w:sz w:val="22"/>
          <w:szCs w:val="22"/>
        </w:rPr>
        <w:br/>
      </w:r>
      <w:r w:rsidRPr="00745040">
        <w:rPr>
          <w:rFonts w:ascii="Calibri" w:hAnsi="Calibri" w:cs="Calibri"/>
        </w:rPr>
        <w:t>Zapewnić odpowiednią wentylację w przypadku większych ilości stopionego wosku.</w:t>
      </w:r>
    </w:p>
    <w:p w14:paraId="4425E295" w14:textId="65E6F57E" w:rsidR="00613415" w:rsidRPr="00745040" w:rsidRDefault="00613415" w:rsidP="00205962">
      <w:pPr>
        <w:pStyle w:val="Akapitzlist"/>
        <w:numPr>
          <w:ilvl w:val="1"/>
          <w:numId w:val="11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Środki ochrony środowiska</w:t>
      </w:r>
    </w:p>
    <w:p w14:paraId="3F08D4E2" w14:textId="041BBA10" w:rsidR="00C004AE" w:rsidRPr="00745040" w:rsidRDefault="00C004AE" w:rsidP="00205962">
      <w:pPr>
        <w:spacing w:after="120" w:line="276" w:lineRule="auto"/>
        <w:rPr>
          <w:rFonts w:ascii="Calibri" w:hAnsi="Calibri" w:cs="Calibri"/>
        </w:rPr>
      </w:pPr>
      <w:r w:rsidRPr="00745040">
        <w:rPr>
          <w:rFonts w:ascii="Calibri" w:hAnsi="Calibri" w:cs="Calibri"/>
          <w:sz w:val="22"/>
          <w:szCs w:val="22"/>
        </w:rPr>
        <w:t>Nie dopuszczać do przedostania się do kanalizacji, cieków wodnych ani gleby.</w:t>
      </w:r>
      <w:r w:rsidRPr="00745040">
        <w:rPr>
          <w:rFonts w:ascii="Calibri" w:hAnsi="Calibri" w:cs="Calibri"/>
          <w:sz w:val="22"/>
          <w:szCs w:val="22"/>
        </w:rPr>
        <w:br/>
        <w:t xml:space="preserve">Wosk stały nie stanowi zagrożenia środowiskowego, ale większe ilości mogą powodować </w:t>
      </w:r>
      <w:r w:rsidRPr="00745040">
        <w:rPr>
          <w:rFonts w:ascii="Calibri" w:hAnsi="Calibri" w:cs="Calibri"/>
        </w:rPr>
        <w:t>mechaniczne zatory w kanalizacji.</w:t>
      </w:r>
    </w:p>
    <w:p w14:paraId="7EC0E0E1" w14:textId="7584EB83" w:rsidR="00613415" w:rsidRPr="00745040" w:rsidRDefault="00613415" w:rsidP="00205962">
      <w:pPr>
        <w:pStyle w:val="Akapitzlist"/>
        <w:numPr>
          <w:ilvl w:val="1"/>
          <w:numId w:val="11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Metody oczyszczania</w:t>
      </w:r>
    </w:p>
    <w:p w14:paraId="64CB13CD" w14:textId="73DC5E8B" w:rsidR="00024E14" w:rsidRPr="00607A68" w:rsidRDefault="00C004AE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Wosk stały zebrać mechanicznie (łopatką, skrobakiem).</w:t>
      </w:r>
      <w:r w:rsidRPr="00745040">
        <w:rPr>
          <w:rFonts w:ascii="Calibri" w:hAnsi="Calibri" w:cs="Calibri"/>
          <w:sz w:val="22"/>
          <w:szCs w:val="22"/>
        </w:rPr>
        <w:br/>
        <w:t>Stopiony wosk pozostawić do stwardnienia, następnie usunąć mechanicznie.</w:t>
      </w:r>
      <w:r w:rsidRPr="00745040">
        <w:rPr>
          <w:rFonts w:ascii="Calibri" w:hAnsi="Calibri" w:cs="Calibri"/>
          <w:sz w:val="22"/>
          <w:szCs w:val="22"/>
        </w:rPr>
        <w:br/>
        <w:t>Powierzchnię po oczyszczeniu przemyć ciepłą wodą z detergentem, aby usunąć pozostałości.</w:t>
      </w:r>
      <w:r w:rsidRPr="00745040">
        <w:rPr>
          <w:rFonts w:ascii="Calibri" w:hAnsi="Calibri" w:cs="Calibri"/>
          <w:sz w:val="22"/>
          <w:szCs w:val="22"/>
        </w:rPr>
        <w:br/>
        <w:t>Zebrany materiał wyrzucić jako odpad komunalny.</w:t>
      </w:r>
    </w:p>
    <w:p w14:paraId="01282D90" w14:textId="2FD69FEB" w:rsidR="00024E14" w:rsidRPr="00745040" w:rsidRDefault="00745040" w:rsidP="00205962">
      <w:pPr>
        <w:spacing w:after="0" w:line="24" w:lineRule="atLeast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7: POSTĘPOWANIE Z SUBSTANCJĄ I MAGAZYNOWANIE</w:t>
      </w:r>
    </w:p>
    <w:p w14:paraId="47001E4D" w14:textId="26DD8497" w:rsidR="00C004AE" w:rsidRPr="00745040" w:rsidRDefault="00C004AE" w:rsidP="00205962">
      <w:pPr>
        <w:pStyle w:val="Akapitzlist"/>
        <w:numPr>
          <w:ilvl w:val="1"/>
          <w:numId w:val="12"/>
        </w:numPr>
        <w:spacing w:after="0" w:line="24" w:lineRule="atLeast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Środki ostrożności</w:t>
      </w:r>
    </w:p>
    <w:p w14:paraId="6BC8EF9E" w14:textId="0364D150" w:rsidR="00C004AE" w:rsidRPr="00745040" w:rsidRDefault="00C004AE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Stosować wyłącznie zgodnie z przeznaczeniem jako świecę zapachową.</w:t>
      </w:r>
      <w:r w:rsidRPr="00745040">
        <w:rPr>
          <w:rFonts w:ascii="Calibri" w:hAnsi="Calibri" w:cs="Calibri"/>
          <w:sz w:val="22"/>
          <w:szCs w:val="22"/>
        </w:rPr>
        <w:br/>
        <w:t>Nie pozostawiać zapalonej świecy bez nadzoru.</w:t>
      </w:r>
      <w:r w:rsidRPr="00745040">
        <w:rPr>
          <w:rFonts w:ascii="Calibri" w:hAnsi="Calibri" w:cs="Calibri"/>
          <w:sz w:val="22"/>
          <w:szCs w:val="22"/>
        </w:rPr>
        <w:br/>
        <w:t>Trzymać z dala od materiałów łatwopalnych, dzieci i zwierząt.</w:t>
      </w:r>
      <w:r w:rsidRPr="00745040">
        <w:rPr>
          <w:rFonts w:ascii="Calibri" w:hAnsi="Calibri" w:cs="Calibri"/>
          <w:sz w:val="22"/>
          <w:szCs w:val="22"/>
        </w:rPr>
        <w:br/>
        <w:t>Unikać kontaktu ze stopionym woskiem – może powodować oparzenia.</w:t>
      </w:r>
      <w:r w:rsidRPr="00745040">
        <w:rPr>
          <w:rFonts w:ascii="Calibri" w:hAnsi="Calibri" w:cs="Calibri"/>
          <w:sz w:val="22"/>
          <w:szCs w:val="22"/>
        </w:rPr>
        <w:br/>
        <w:t>Zapewnić stabilne podłoże podczas użytkowania, aby zapobiec przewróceniu.</w:t>
      </w:r>
      <w:r w:rsidRPr="00745040">
        <w:rPr>
          <w:rFonts w:ascii="Calibri" w:hAnsi="Calibri" w:cs="Calibri"/>
          <w:sz w:val="22"/>
          <w:szCs w:val="22"/>
        </w:rPr>
        <w:br/>
        <w:t>Unikać wdychania dymu powstającego podczas spalania knotów nadpalonych lub zabrudzonych.</w:t>
      </w:r>
    </w:p>
    <w:p w14:paraId="12DB8E49" w14:textId="1003AB9E" w:rsidR="00C004AE" w:rsidRPr="00745040" w:rsidRDefault="00C004AE" w:rsidP="00205962">
      <w:pPr>
        <w:pStyle w:val="Akapitzlist"/>
        <w:numPr>
          <w:ilvl w:val="1"/>
          <w:numId w:val="12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Warunki magazynowania</w:t>
      </w:r>
    </w:p>
    <w:p w14:paraId="723E0309" w14:textId="4B8326DD" w:rsidR="007D32C4" w:rsidRPr="00745040" w:rsidRDefault="00C004AE" w:rsidP="00205962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Przechowywać w suchym, chłodnym i dobrze wentylowanym miejscu.</w:t>
      </w:r>
      <w:r w:rsidRPr="00745040">
        <w:rPr>
          <w:rFonts w:ascii="Calibri" w:hAnsi="Calibri" w:cs="Calibri"/>
          <w:sz w:val="22"/>
          <w:szCs w:val="22"/>
        </w:rPr>
        <w:br/>
        <w:t>Unikać bezpośredniego nasłonecznienia oraz temperatur powyżej 30°C, które mogą powodować zmiękczenie wosku.</w:t>
      </w:r>
      <w:r w:rsidRPr="00745040">
        <w:rPr>
          <w:rFonts w:ascii="Calibri" w:hAnsi="Calibri" w:cs="Calibri"/>
          <w:sz w:val="22"/>
          <w:szCs w:val="22"/>
        </w:rPr>
        <w:br/>
        <w:t>Przechowywać z dala od źródeł zapłonu, grzejników, urządzeń emitujących ciepło.</w:t>
      </w:r>
      <w:r w:rsidRPr="00745040">
        <w:rPr>
          <w:rFonts w:ascii="Calibri" w:hAnsi="Calibri" w:cs="Calibri"/>
          <w:sz w:val="22"/>
          <w:szCs w:val="22"/>
        </w:rPr>
        <w:br/>
        <w:t>Słoiki szklane przechowywać w pozycji pionowej, aby zapobiec uszkodzeniu i zanieczyszczeniu knotów.</w:t>
      </w:r>
      <w:r w:rsidRPr="00745040">
        <w:rPr>
          <w:rFonts w:ascii="Calibri" w:hAnsi="Calibri" w:cs="Calibri"/>
          <w:sz w:val="22"/>
          <w:szCs w:val="22"/>
        </w:rPr>
        <w:br/>
        <w:t>Chronić przed kurzem i zanieczyszczeniami mogącymi wpływać na jakość spalania.</w:t>
      </w:r>
    </w:p>
    <w:p w14:paraId="3B13228E" w14:textId="4F073BC4" w:rsidR="00C004AE" w:rsidRPr="00745040" w:rsidRDefault="00C004AE" w:rsidP="00C47B23">
      <w:pPr>
        <w:pStyle w:val="Akapitzlist"/>
        <w:numPr>
          <w:ilvl w:val="1"/>
          <w:numId w:val="12"/>
        </w:numPr>
        <w:spacing w:after="0" w:line="288" w:lineRule="auto"/>
        <w:rPr>
          <w:rFonts w:ascii="Calibri" w:hAnsi="Calibri" w:cs="Calibri"/>
          <w:b/>
          <w:bCs/>
        </w:rPr>
      </w:pPr>
      <w:r w:rsidRPr="00745040">
        <w:rPr>
          <w:rFonts w:ascii="Calibri" w:hAnsi="Calibri" w:cs="Calibri"/>
          <w:b/>
          <w:bCs/>
        </w:rPr>
        <w:t>Zastosowania końcowe</w:t>
      </w:r>
    </w:p>
    <w:p w14:paraId="2A38F503" w14:textId="6C87D998" w:rsidR="00C004AE" w:rsidRDefault="00C004AE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sz w:val="22"/>
          <w:szCs w:val="22"/>
        </w:rPr>
        <w:t>Produkt konsumencki – dekoracyjna świeca zapachowa przeznaczona do spalania w pomieszczeniach.</w:t>
      </w:r>
      <w:r w:rsidRPr="00745040">
        <w:rPr>
          <w:rFonts w:ascii="Calibri" w:hAnsi="Calibri" w:cs="Calibri"/>
          <w:sz w:val="22"/>
          <w:szCs w:val="22"/>
        </w:rPr>
        <w:br/>
        <w:t>Nie stosować w zastosowaniach przemysłowych ani jako źródła ogrzewania.</w:t>
      </w:r>
    </w:p>
    <w:p w14:paraId="279B1E25" w14:textId="77777777" w:rsidR="00F516E1" w:rsidRPr="00745040" w:rsidRDefault="00F516E1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6340BD3E" w14:textId="25D61AE1" w:rsidR="006A463D" w:rsidRPr="00B2696B" w:rsidRDefault="006A463D" w:rsidP="00B2696B">
      <w:pPr>
        <w:spacing w:after="0" w:line="276" w:lineRule="auto"/>
        <w:rPr>
          <w:rFonts w:ascii="Calibri" w:hAnsi="Calibri" w:cs="Calibri"/>
        </w:rPr>
      </w:pPr>
      <w:r w:rsidRPr="006A463D">
        <w:rPr>
          <w:rFonts w:ascii="Calibri" w:hAnsi="Calibri" w:cs="Calibri"/>
          <w:b/>
          <w:bCs/>
          <w:sz w:val="28"/>
          <w:szCs w:val="28"/>
        </w:rPr>
        <w:lastRenderedPageBreak/>
        <w:t xml:space="preserve">SEKCJA </w:t>
      </w:r>
      <w:r w:rsidR="005A76CA" w:rsidRPr="006A463D">
        <w:rPr>
          <w:rFonts w:ascii="Calibri" w:hAnsi="Calibri" w:cs="Calibri"/>
          <w:b/>
          <w:bCs/>
          <w:sz w:val="28"/>
          <w:szCs w:val="28"/>
        </w:rPr>
        <w:t>8</w:t>
      </w:r>
      <w:r w:rsidRPr="006A463D">
        <w:rPr>
          <w:rFonts w:ascii="Calibri" w:hAnsi="Calibri" w:cs="Calibri"/>
          <w:b/>
          <w:bCs/>
          <w:sz w:val="28"/>
          <w:szCs w:val="28"/>
        </w:rPr>
        <w:t>: KONTROLA NARAŻENIA/ ŚRODKI OCHRONY INDYWIDUALNEJ</w:t>
      </w:r>
    </w:p>
    <w:p w14:paraId="7CEAA58F" w14:textId="61F77A25" w:rsidR="006A463D" w:rsidRDefault="005A76CA" w:rsidP="006A463D">
      <w:pPr>
        <w:pStyle w:val="Akapitzlist"/>
        <w:spacing w:after="0" w:line="288" w:lineRule="auto"/>
        <w:ind w:left="0"/>
        <w:rPr>
          <w:rFonts w:ascii="Calibri" w:hAnsi="Calibri" w:cs="Calibri"/>
          <w:b/>
          <w:bCs/>
        </w:rPr>
      </w:pPr>
      <w:r w:rsidRPr="006A463D">
        <w:rPr>
          <w:rFonts w:ascii="Calibri" w:hAnsi="Calibri" w:cs="Calibri"/>
          <w:b/>
          <w:bCs/>
        </w:rPr>
        <w:t xml:space="preserve">8.1. </w:t>
      </w:r>
      <w:r w:rsidR="006A463D">
        <w:rPr>
          <w:rFonts w:ascii="Calibri" w:hAnsi="Calibri" w:cs="Calibri"/>
          <w:b/>
          <w:bCs/>
        </w:rPr>
        <w:t xml:space="preserve">       </w:t>
      </w:r>
      <w:r w:rsidRPr="006A463D">
        <w:rPr>
          <w:rFonts w:ascii="Calibri" w:hAnsi="Calibri" w:cs="Calibri"/>
          <w:b/>
          <w:bCs/>
        </w:rPr>
        <w:t>Parametry dotyczące kontroli</w:t>
      </w:r>
    </w:p>
    <w:p w14:paraId="2F39D6EC" w14:textId="18706715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sz w:val="22"/>
          <w:szCs w:val="22"/>
        </w:rPr>
        <w:t xml:space="preserve">Dla mieszaniny (gotowej świecy) </w:t>
      </w:r>
      <w:r w:rsidRPr="00B2696B">
        <w:rPr>
          <w:rFonts w:ascii="Calibri" w:hAnsi="Calibri" w:cs="Calibri"/>
          <w:sz w:val="22"/>
          <w:szCs w:val="22"/>
        </w:rPr>
        <w:t>nie ustalono wartości dopuszczalnych stężeń w środowisku pracy.</w:t>
      </w:r>
      <w:r w:rsidRPr="00B2696B">
        <w:rPr>
          <w:rFonts w:ascii="Calibri" w:hAnsi="Calibri" w:cs="Calibri"/>
          <w:sz w:val="22"/>
          <w:szCs w:val="22"/>
        </w:rPr>
        <w:br/>
        <w:t>Niektóre składniki kompozycji zapachowej mogą posiadać limity narażenia, jednak ich stężenia w gotowym produkcie są bardzo niskie i nie powodują przekroczeń wartości granicznych podczas</w:t>
      </w:r>
      <w:r w:rsidRPr="006A463D">
        <w:rPr>
          <w:rFonts w:ascii="Calibri" w:hAnsi="Calibri" w:cs="Calibri"/>
          <w:sz w:val="22"/>
          <w:szCs w:val="22"/>
        </w:rPr>
        <w:t xml:space="preserve"> prawidłowego użytkowania świecy.</w:t>
      </w:r>
    </w:p>
    <w:p w14:paraId="34286BE3" w14:textId="0943790F" w:rsidR="006A463D" w:rsidRPr="006A463D" w:rsidRDefault="006A463D" w:rsidP="006A463D">
      <w:pPr>
        <w:pStyle w:val="Akapitzlist"/>
        <w:spacing w:after="0" w:line="288" w:lineRule="auto"/>
        <w:ind w:left="0"/>
        <w:rPr>
          <w:rFonts w:ascii="Calibri" w:hAnsi="Calibri" w:cs="Calibri"/>
          <w:b/>
          <w:bCs/>
        </w:rPr>
      </w:pPr>
      <w:r w:rsidRPr="006A463D">
        <w:rPr>
          <w:rFonts w:ascii="Calibri" w:hAnsi="Calibri" w:cs="Calibri"/>
          <w:b/>
          <w:bCs/>
        </w:rPr>
        <w:t>8.2.         Kontrola narażenia</w:t>
      </w:r>
    </w:p>
    <w:p w14:paraId="155980BB" w14:textId="77777777" w:rsidR="006A463D" w:rsidRPr="006A463D" w:rsidRDefault="006A463D" w:rsidP="006A463D">
      <w:pPr>
        <w:spacing w:after="0" w:line="288" w:lineRule="auto"/>
        <w:rPr>
          <w:rFonts w:ascii="Calibri" w:hAnsi="Calibri" w:cs="Calibri"/>
          <w:b/>
          <w:bCs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Kontrola techniczna</w:t>
      </w:r>
    </w:p>
    <w:p w14:paraId="25AC3644" w14:textId="77777777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sz w:val="22"/>
          <w:szCs w:val="22"/>
        </w:rPr>
        <w:t>Podczas spalania świecy:</w:t>
      </w:r>
      <w:r w:rsidRPr="006A463D">
        <w:rPr>
          <w:rFonts w:ascii="Calibri" w:hAnsi="Calibri" w:cs="Calibri"/>
          <w:sz w:val="22"/>
          <w:szCs w:val="22"/>
        </w:rPr>
        <w:br/>
        <w:t>– używać w dobrze wentylowanym pomieszczeniu,</w:t>
      </w:r>
      <w:r w:rsidRPr="006A463D">
        <w:rPr>
          <w:rFonts w:ascii="Calibri" w:hAnsi="Calibri" w:cs="Calibri"/>
          <w:sz w:val="22"/>
          <w:szCs w:val="22"/>
        </w:rPr>
        <w:br/>
        <w:t>– unikać długotrwałego narażenia na dym świecy.</w:t>
      </w:r>
    </w:p>
    <w:p w14:paraId="5AAA883F" w14:textId="77777777" w:rsidR="006A463D" w:rsidRPr="006A463D" w:rsidRDefault="006A463D" w:rsidP="006A463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Środki ochrony indywidualnej (przy produkcji i obróbce świec):</w:t>
      </w:r>
    </w:p>
    <w:p w14:paraId="5B39C5E8" w14:textId="77777777" w:rsidR="006A463D" w:rsidRPr="006A463D" w:rsidRDefault="006A463D" w:rsidP="006A463D">
      <w:pPr>
        <w:spacing w:after="120" w:line="288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oczu:</w:t>
      </w:r>
      <w:r w:rsidRPr="006A463D">
        <w:rPr>
          <w:rFonts w:ascii="Calibri" w:hAnsi="Calibri" w:cs="Calibri"/>
          <w:sz w:val="22"/>
          <w:szCs w:val="22"/>
        </w:rPr>
        <w:br/>
        <w:t>– okulary ochronne tylko podczas pracy ze stopionym woskiem (ryzyko oparzeń termicznych).</w:t>
      </w:r>
    </w:p>
    <w:p w14:paraId="526A3A22" w14:textId="77777777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skóry:</w:t>
      </w:r>
      <w:r w:rsidRPr="006A463D">
        <w:rPr>
          <w:rFonts w:ascii="Calibri" w:hAnsi="Calibri" w:cs="Calibri"/>
          <w:sz w:val="22"/>
          <w:szCs w:val="22"/>
        </w:rPr>
        <w:br/>
        <w:t>– rękawice ochronne odporne na temperaturę i chemikalia podczas nalewu wosku,</w:t>
      </w:r>
      <w:r w:rsidRPr="006A463D">
        <w:rPr>
          <w:rFonts w:ascii="Calibri" w:hAnsi="Calibri" w:cs="Calibri"/>
          <w:sz w:val="22"/>
          <w:szCs w:val="22"/>
        </w:rPr>
        <w:br/>
        <w:t>– stosować odzież roboczą.</w:t>
      </w:r>
    </w:p>
    <w:p w14:paraId="504516EC" w14:textId="77777777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rąk:</w:t>
      </w:r>
      <w:r w:rsidRPr="006A463D">
        <w:rPr>
          <w:rFonts w:ascii="Calibri" w:hAnsi="Calibri" w:cs="Calibri"/>
          <w:sz w:val="22"/>
          <w:szCs w:val="22"/>
        </w:rPr>
        <w:br/>
        <w:t>– rękawice ochronne podczas kontaktu ze stopionym woskiem lub aromatem.</w:t>
      </w:r>
    </w:p>
    <w:p w14:paraId="512442F1" w14:textId="05995C7A" w:rsidR="007D32C4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Ochrona dróg oddechowych:</w:t>
      </w:r>
      <w:r w:rsidRPr="006A463D">
        <w:rPr>
          <w:rFonts w:ascii="Calibri" w:hAnsi="Calibri" w:cs="Calibri"/>
          <w:sz w:val="22"/>
          <w:szCs w:val="22"/>
        </w:rPr>
        <w:br/>
        <w:t>– nie jest wymagana przy normalnych warunkach pracy,</w:t>
      </w:r>
      <w:r w:rsidRPr="006A463D">
        <w:rPr>
          <w:rFonts w:ascii="Calibri" w:hAnsi="Calibri" w:cs="Calibri"/>
          <w:sz w:val="22"/>
          <w:szCs w:val="22"/>
        </w:rPr>
        <w:br/>
        <w:t>– w przypadku intensywnej produkcji z dużą ilością aromatu zaleca się półmaskę z filtrem przeciw organicznym parom (typ A).</w:t>
      </w:r>
    </w:p>
    <w:p w14:paraId="166F6D04" w14:textId="77777777" w:rsidR="006A463D" w:rsidRPr="006A463D" w:rsidRDefault="006A463D" w:rsidP="006A463D">
      <w:pPr>
        <w:spacing w:after="0" w:line="288" w:lineRule="auto"/>
        <w:rPr>
          <w:rFonts w:ascii="Calibri" w:hAnsi="Calibri" w:cs="Calibri"/>
          <w:b/>
          <w:bCs/>
          <w:sz w:val="22"/>
          <w:szCs w:val="22"/>
        </w:rPr>
      </w:pPr>
      <w:r w:rsidRPr="006A463D">
        <w:rPr>
          <w:rFonts w:ascii="Calibri" w:hAnsi="Calibri" w:cs="Calibri"/>
          <w:b/>
          <w:bCs/>
          <w:sz w:val="22"/>
          <w:szCs w:val="22"/>
        </w:rPr>
        <w:t>Kontrola narażenia środowiska</w:t>
      </w:r>
    </w:p>
    <w:p w14:paraId="5F3DF9AF" w14:textId="3D58DC2C" w:rsidR="006A463D" w:rsidRPr="006A463D" w:rsidRDefault="006A463D" w:rsidP="006A463D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A463D">
        <w:rPr>
          <w:rFonts w:ascii="Calibri" w:hAnsi="Calibri" w:cs="Calibri"/>
          <w:sz w:val="22"/>
          <w:szCs w:val="22"/>
        </w:rPr>
        <w:t>– nie dopuszczać do przedostawania się ciekłego wosku lub skoncentrowanego aromatu do gruntu i kanalizacji.</w:t>
      </w:r>
      <w:r w:rsidRPr="006A463D">
        <w:rPr>
          <w:rFonts w:ascii="Calibri" w:hAnsi="Calibri" w:cs="Calibri"/>
          <w:sz w:val="22"/>
          <w:szCs w:val="22"/>
        </w:rPr>
        <w:br/>
        <w:t xml:space="preserve">– emisje do środowiska z procesu spalania świecy uznaje się za nieistotne, jeśli świeca używana jest zgodnie z przeznaczeniem. </w:t>
      </w:r>
    </w:p>
    <w:p w14:paraId="74486F2E" w14:textId="52C00925" w:rsidR="00C004AE" w:rsidRPr="00745040" w:rsidRDefault="00745040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t>SEKCJA 9: WŁAŚCIWOŚCI FIZYKOCHEMICZNE</w:t>
      </w:r>
    </w:p>
    <w:p w14:paraId="2EF3CE45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Stan skupienia:</w:t>
      </w:r>
      <w:r w:rsidRPr="00745040">
        <w:rPr>
          <w:rFonts w:ascii="Calibri" w:hAnsi="Calibri" w:cs="Calibri"/>
          <w:sz w:val="22"/>
          <w:szCs w:val="22"/>
        </w:rPr>
        <w:t xml:space="preserve"> ciało stałe (w temperaturze pokojowej)  </w:t>
      </w:r>
    </w:p>
    <w:p w14:paraId="7B5C4686" w14:textId="76E36EB0" w:rsidR="00920E13" w:rsidRPr="00F516E1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516E1">
        <w:rPr>
          <w:rFonts w:ascii="Calibri" w:hAnsi="Calibri" w:cs="Calibri"/>
          <w:b/>
          <w:bCs/>
          <w:sz w:val="22"/>
          <w:szCs w:val="22"/>
        </w:rPr>
        <w:t>Zapach:</w:t>
      </w:r>
      <w:r w:rsidRPr="00F516E1">
        <w:rPr>
          <w:rFonts w:ascii="Calibri" w:hAnsi="Calibri" w:cs="Calibri"/>
          <w:sz w:val="22"/>
          <w:szCs w:val="22"/>
        </w:rPr>
        <w:t xml:space="preserve"> </w:t>
      </w:r>
      <w:r w:rsidR="00937188" w:rsidRPr="00F516E1">
        <w:rPr>
          <w:rFonts w:ascii="Calibri" w:hAnsi="Calibri" w:cs="Calibri"/>
          <w:sz w:val="22"/>
          <w:szCs w:val="22"/>
        </w:rPr>
        <w:t>Czekolada - Piernik</w:t>
      </w:r>
      <w:r w:rsidRPr="00F516E1">
        <w:rPr>
          <w:rFonts w:ascii="Calibri" w:hAnsi="Calibri" w:cs="Calibri"/>
          <w:sz w:val="22"/>
          <w:szCs w:val="22"/>
        </w:rPr>
        <w:t xml:space="preserve">  </w:t>
      </w:r>
    </w:p>
    <w:p w14:paraId="2BC455DE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Kolor:</w:t>
      </w:r>
      <w:r w:rsidRPr="00745040">
        <w:rPr>
          <w:rFonts w:ascii="Calibri" w:hAnsi="Calibri" w:cs="Calibri"/>
          <w:sz w:val="22"/>
          <w:szCs w:val="22"/>
        </w:rPr>
        <w:t xml:space="preserve"> naturalny lub delikatnie kremowy  </w:t>
      </w:r>
    </w:p>
    <w:p w14:paraId="5919133C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Temperatura topnienia:</w:t>
      </w:r>
      <w:r w:rsidRPr="00745040">
        <w:rPr>
          <w:rFonts w:ascii="Calibri" w:hAnsi="Calibri" w:cs="Calibri"/>
          <w:sz w:val="22"/>
          <w:szCs w:val="22"/>
        </w:rPr>
        <w:t xml:space="preserve"> 40–55°C  </w:t>
      </w:r>
    </w:p>
    <w:p w14:paraId="1C3771D9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Temperatura zapłonu:</w:t>
      </w:r>
      <w:r w:rsidRPr="00745040">
        <w:rPr>
          <w:rFonts w:ascii="Calibri" w:hAnsi="Calibri" w:cs="Calibri"/>
          <w:sz w:val="22"/>
          <w:szCs w:val="22"/>
        </w:rPr>
        <w:t xml:space="preserve"> &gt;200°C  </w:t>
      </w:r>
    </w:p>
    <w:p w14:paraId="2F12ACA8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Temperatura wrzenia:</w:t>
      </w:r>
      <w:r w:rsidRPr="00745040">
        <w:rPr>
          <w:rFonts w:ascii="Calibri" w:hAnsi="Calibri" w:cs="Calibri"/>
          <w:sz w:val="22"/>
          <w:szCs w:val="22"/>
        </w:rPr>
        <w:t xml:space="preserve"> nie dotyczy (produkt stały)  </w:t>
      </w:r>
    </w:p>
    <w:p w14:paraId="73AE31D4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Rozpuszczalność:</w:t>
      </w:r>
      <w:r w:rsidRPr="00745040">
        <w:rPr>
          <w:rFonts w:ascii="Calibri" w:hAnsi="Calibri" w:cs="Calibri"/>
          <w:sz w:val="22"/>
          <w:szCs w:val="22"/>
        </w:rPr>
        <w:t xml:space="preserve"> nierozpuszczalna w wodzie; rozpuszczalna w olejach  </w:t>
      </w:r>
    </w:p>
    <w:p w14:paraId="4EB8B7FC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Gęstość:</w:t>
      </w:r>
      <w:r w:rsidRPr="00745040">
        <w:rPr>
          <w:rFonts w:ascii="Calibri" w:hAnsi="Calibri" w:cs="Calibri"/>
          <w:sz w:val="22"/>
          <w:szCs w:val="22"/>
        </w:rPr>
        <w:t xml:space="preserve"> ok. 0,90 g/cm³  </w:t>
      </w:r>
    </w:p>
    <w:p w14:paraId="4A1DF500" w14:textId="77777777" w:rsidR="00920E13" w:rsidRPr="00745040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Lepkość:</w:t>
      </w:r>
      <w:r w:rsidRPr="00745040">
        <w:rPr>
          <w:rFonts w:ascii="Calibri" w:hAnsi="Calibri" w:cs="Calibri"/>
          <w:sz w:val="22"/>
          <w:szCs w:val="22"/>
        </w:rPr>
        <w:t xml:space="preserve"> wysoka w stanie ciekłym, po stopieniu  </w:t>
      </w:r>
    </w:p>
    <w:p w14:paraId="374CE968" w14:textId="77777777" w:rsidR="00EE25DA" w:rsidRDefault="00C004AE" w:rsidP="006A463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Właściwości wybuchowe:</w:t>
      </w:r>
      <w:r w:rsidRPr="00745040">
        <w:rPr>
          <w:rFonts w:ascii="Calibri" w:hAnsi="Calibri" w:cs="Calibri"/>
          <w:sz w:val="22"/>
          <w:szCs w:val="22"/>
        </w:rPr>
        <w:t xml:space="preserve"> produkt nie wykazuje właściwości wybuchowych  </w:t>
      </w:r>
    </w:p>
    <w:p w14:paraId="7EAA1784" w14:textId="77290551" w:rsidR="00B2696B" w:rsidRDefault="00C004AE" w:rsidP="007D32C4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745040">
        <w:rPr>
          <w:rFonts w:ascii="Calibri" w:hAnsi="Calibri" w:cs="Calibri"/>
          <w:b/>
          <w:bCs/>
          <w:sz w:val="22"/>
          <w:szCs w:val="22"/>
        </w:rPr>
        <w:t>Właściwości utleniające:</w:t>
      </w:r>
      <w:r w:rsidRPr="00745040">
        <w:rPr>
          <w:rFonts w:ascii="Calibri" w:hAnsi="Calibri" w:cs="Calibri"/>
          <w:sz w:val="22"/>
          <w:szCs w:val="22"/>
        </w:rPr>
        <w:t xml:space="preserve"> produkt nie wykazuje właściwości utleniających</w:t>
      </w:r>
    </w:p>
    <w:p w14:paraId="15DFE0A7" w14:textId="77777777" w:rsidR="00A66488" w:rsidRDefault="00A66488" w:rsidP="007D32C4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1149BDB8" w14:textId="5B2A3E6F" w:rsidR="008A0988" w:rsidRPr="00745040" w:rsidRDefault="00745040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745040">
        <w:rPr>
          <w:rFonts w:ascii="Calibri" w:hAnsi="Calibri" w:cs="Calibri"/>
          <w:b/>
          <w:bCs/>
          <w:sz w:val="26"/>
          <w:szCs w:val="26"/>
        </w:rPr>
        <w:lastRenderedPageBreak/>
        <w:t>SEKCJA 10: STABILNOŚĆ I REAKTYWNOŚĆ</w:t>
      </w:r>
    </w:p>
    <w:p w14:paraId="0ED9D9D9" w14:textId="637EE7B8" w:rsidR="008A0988" w:rsidRPr="003F6EFC" w:rsidRDefault="008A0988" w:rsidP="00C47B23">
      <w:pPr>
        <w:pStyle w:val="Akapitzlist"/>
        <w:numPr>
          <w:ilvl w:val="1"/>
          <w:numId w:val="13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Reaktywność: produkt stabilny chemicznie.  </w:t>
      </w:r>
    </w:p>
    <w:p w14:paraId="606B54A7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Stabilność chemiczna: stabilny w normalnych warunkach.  </w:t>
      </w:r>
    </w:p>
    <w:p w14:paraId="5B94C79D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Możliwość wystąpienia reakcji niebezpiecznych: brak przy użytkowaniu zgodnym z przeznaczeniem.  </w:t>
      </w:r>
    </w:p>
    <w:p w14:paraId="3EF96D02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Warunki, których należy unikać: przegrzanie powyżej 80°C.  </w:t>
      </w:r>
    </w:p>
    <w:p w14:paraId="0AFD6461" w14:textId="77777777" w:rsidR="008A0988" w:rsidRPr="003F6EFC" w:rsidRDefault="008A0988" w:rsidP="00C47B23">
      <w:pPr>
        <w:pStyle w:val="Akapitzlist"/>
        <w:numPr>
          <w:ilvl w:val="1"/>
          <w:numId w:val="13"/>
        </w:num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Materiały niezgodne: silne utleniacze.  </w:t>
      </w:r>
    </w:p>
    <w:p w14:paraId="14395C6B" w14:textId="2D655F2B" w:rsidR="008A0988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11: INFORMACJE TOKSYKOLOGICZNE</w:t>
      </w:r>
    </w:p>
    <w:p w14:paraId="450F2F95" w14:textId="77777777" w:rsidR="008A0988" w:rsidRPr="003F6EFC" w:rsidRDefault="008A0988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Może wywoływać podrażnienie skóry i oczu.  </w:t>
      </w:r>
      <w:r w:rsidRPr="003F6EFC">
        <w:rPr>
          <w:rFonts w:ascii="Calibri" w:hAnsi="Calibri" w:cs="Calibri"/>
          <w:sz w:val="22"/>
          <w:szCs w:val="22"/>
        </w:rPr>
        <w:br/>
        <w:t xml:space="preserve">Może wywoływać reakcje alergiczne u osób wrażliwych.  </w:t>
      </w:r>
      <w:r w:rsidRPr="003F6EFC">
        <w:rPr>
          <w:rFonts w:ascii="Calibri" w:hAnsi="Calibri" w:cs="Calibri"/>
          <w:sz w:val="22"/>
          <w:szCs w:val="22"/>
        </w:rPr>
        <w:br/>
        <w:t xml:space="preserve">Toksyczność ostra: niska dla mieszaniny.  </w:t>
      </w:r>
      <w:r w:rsidRPr="003F6EFC">
        <w:rPr>
          <w:rFonts w:ascii="Calibri" w:hAnsi="Calibri" w:cs="Calibri"/>
          <w:sz w:val="22"/>
          <w:szCs w:val="22"/>
        </w:rPr>
        <w:br/>
        <w:t xml:space="preserve">Brak danych o działaniu rakotwórczym, mutagennym i </w:t>
      </w:r>
      <w:proofErr w:type="spellStart"/>
      <w:r w:rsidRPr="003F6EFC">
        <w:rPr>
          <w:rFonts w:ascii="Calibri" w:hAnsi="Calibri" w:cs="Calibri"/>
          <w:sz w:val="22"/>
          <w:szCs w:val="22"/>
        </w:rPr>
        <w:t>reprotoksycznym</w:t>
      </w:r>
      <w:proofErr w:type="spellEnd"/>
      <w:r w:rsidRPr="003F6EFC">
        <w:rPr>
          <w:rFonts w:ascii="Calibri" w:hAnsi="Calibri" w:cs="Calibri"/>
          <w:sz w:val="22"/>
          <w:szCs w:val="22"/>
        </w:rPr>
        <w:t>.</w:t>
      </w:r>
    </w:p>
    <w:p w14:paraId="7765888A" w14:textId="19DE45F4" w:rsidR="008A0988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12: INFORMACJE EKOLOGICZNE</w:t>
      </w:r>
    </w:p>
    <w:p w14:paraId="4DD52396" w14:textId="77777777" w:rsidR="008A0988" w:rsidRPr="003F6EFC" w:rsidRDefault="008A0988" w:rsidP="00C47B2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Szkodliwe dla środowiska wodnego (H412).  </w:t>
      </w:r>
      <w:r w:rsidRPr="003F6EFC">
        <w:rPr>
          <w:rFonts w:ascii="Calibri" w:hAnsi="Calibri" w:cs="Calibri"/>
          <w:sz w:val="22"/>
          <w:szCs w:val="22"/>
        </w:rPr>
        <w:br/>
        <w:t xml:space="preserve">Produkt biologicznie </w:t>
      </w:r>
      <w:proofErr w:type="spellStart"/>
      <w:r w:rsidRPr="003F6EFC">
        <w:rPr>
          <w:rFonts w:ascii="Calibri" w:hAnsi="Calibri" w:cs="Calibri"/>
          <w:sz w:val="22"/>
          <w:szCs w:val="22"/>
        </w:rPr>
        <w:t>trudnorozkładalny</w:t>
      </w:r>
      <w:proofErr w:type="spellEnd"/>
      <w:r w:rsidRPr="003F6EFC">
        <w:rPr>
          <w:rFonts w:ascii="Calibri" w:hAnsi="Calibri" w:cs="Calibri"/>
          <w:sz w:val="22"/>
          <w:szCs w:val="22"/>
        </w:rPr>
        <w:t xml:space="preserve"> w fazie stałej.  </w:t>
      </w:r>
      <w:r w:rsidRPr="003F6EFC">
        <w:rPr>
          <w:rFonts w:ascii="Calibri" w:hAnsi="Calibri" w:cs="Calibri"/>
          <w:sz w:val="22"/>
          <w:szCs w:val="22"/>
        </w:rPr>
        <w:br/>
        <w:t>Unikać przedostania się do środowiska.</w:t>
      </w:r>
    </w:p>
    <w:p w14:paraId="674D463C" w14:textId="177064BB" w:rsidR="008A0988" w:rsidRDefault="008A0988" w:rsidP="00F516E1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>Brak danych dotyczących bioakumulacji poszczególnych składników w gotowej mieszaninie.</w:t>
      </w:r>
      <w:r w:rsidRPr="003F6EFC">
        <w:rPr>
          <w:rFonts w:ascii="Calibri" w:hAnsi="Calibri" w:cs="Calibri"/>
          <w:sz w:val="22"/>
          <w:szCs w:val="22"/>
        </w:rPr>
        <w:br/>
        <w:t>Ze względu na stałą postać produktu ryzyko przedostania się do środowiska wodnego jest ograniczone.</w:t>
      </w:r>
    </w:p>
    <w:p w14:paraId="4AD0050C" w14:textId="4114BC42" w:rsidR="005A7AA0" w:rsidRDefault="00F516E1" w:rsidP="00F516E1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F516E1">
        <w:rPr>
          <w:rFonts w:ascii="Calibri" w:hAnsi="Calibri" w:cs="Calibri"/>
          <w:sz w:val="22"/>
          <w:szCs w:val="22"/>
        </w:rPr>
        <w:t>Mieszanina zawiera składniki sklasyfikowane jako H400 i H410, jednak ich stężenia nie powodują klasyfikacji mieszaniny powyżej H412.</w:t>
      </w:r>
    </w:p>
    <w:p w14:paraId="0108CC26" w14:textId="77777777" w:rsidR="00F516E1" w:rsidRPr="003F6EFC" w:rsidRDefault="00F516E1" w:rsidP="00F516E1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7A3BB48A" w14:textId="44A746F2" w:rsidR="008A0988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13: POSTĘPOWANIE Z ODPADAMI</w:t>
      </w:r>
    </w:p>
    <w:p w14:paraId="1AB3E289" w14:textId="6F2FFF3F" w:rsidR="00F54CA2" w:rsidRPr="003F6EFC" w:rsidRDefault="00F54CA2" w:rsidP="00C47B23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Utylizować jako odpad komunalny.  </w:t>
      </w:r>
      <w:r w:rsidRPr="003F6EFC">
        <w:rPr>
          <w:rFonts w:ascii="Calibri" w:hAnsi="Calibri" w:cs="Calibri"/>
          <w:sz w:val="22"/>
          <w:szCs w:val="22"/>
        </w:rPr>
        <w:br/>
        <w:t xml:space="preserve">Nie wylewać do kanalizacji.  </w:t>
      </w:r>
      <w:r w:rsidRPr="003F6EFC">
        <w:rPr>
          <w:rFonts w:ascii="Calibri" w:hAnsi="Calibri" w:cs="Calibri"/>
          <w:sz w:val="22"/>
          <w:szCs w:val="22"/>
        </w:rPr>
        <w:br/>
        <w:t>Szkło opakowania – recykling.</w:t>
      </w:r>
    </w:p>
    <w:p w14:paraId="533CD31F" w14:textId="48BA34AB" w:rsidR="00F516E1" w:rsidRPr="003F6EFC" w:rsidRDefault="00F54CA2" w:rsidP="00C47B23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>Pozostałości wosku można zutylizować jako odpad zmieszany lub oddać do PSZOK, jeśli lokalne przepisy tego wymagają.</w:t>
      </w:r>
    </w:p>
    <w:p w14:paraId="73593228" w14:textId="7AECBF32" w:rsidR="00F54CA2" w:rsidRPr="003F6EFC" w:rsidRDefault="003F6EFC" w:rsidP="00C47B23">
      <w:pPr>
        <w:spacing w:after="0" w:line="288" w:lineRule="auto"/>
        <w:rPr>
          <w:rFonts w:ascii="Calibri" w:hAnsi="Calibri" w:cs="Calibri"/>
          <w:b/>
          <w:bCs/>
          <w:sz w:val="26"/>
          <w:szCs w:val="26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14: INFORMACJE DOTYCZĄCE TRANSPORTU</w:t>
      </w:r>
    </w:p>
    <w:p w14:paraId="7D30DEB1" w14:textId="0A826E28" w:rsidR="008A0988" w:rsidRPr="003F6EFC" w:rsidRDefault="00F54CA2" w:rsidP="00E57610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ADR/RID: nie dotyczy  </w:t>
      </w:r>
      <w:r w:rsidRPr="003F6EFC">
        <w:rPr>
          <w:rFonts w:ascii="Calibri" w:hAnsi="Calibri" w:cs="Calibri"/>
          <w:sz w:val="22"/>
          <w:szCs w:val="22"/>
        </w:rPr>
        <w:br/>
        <w:t xml:space="preserve">IMDG: nie dotyczy  </w:t>
      </w:r>
      <w:r w:rsidRPr="003F6EFC">
        <w:rPr>
          <w:rFonts w:ascii="Calibri" w:hAnsi="Calibri" w:cs="Calibri"/>
          <w:sz w:val="22"/>
          <w:szCs w:val="22"/>
        </w:rPr>
        <w:br/>
        <w:t xml:space="preserve">IATA: nie dotyczy  </w:t>
      </w:r>
      <w:r w:rsidRPr="003F6EFC">
        <w:rPr>
          <w:rFonts w:ascii="Calibri" w:hAnsi="Calibri" w:cs="Calibri"/>
          <w:sz w:val="22"/>
          <w:szCs w:val="22"/>
        </w:rPr>
        <w:br/>
        <w:t>Produkt nie jest klasyfikowany jako niebezpieczny w transporcie.</w:t>
      </w:r>
      <w:r w:rsidRPr="003F6EFC">
        <w:rPr>
          <w:rFonts w:ascii="Calibri" w:hAnsi="Calibri" w:cs="Calibri"/>
          <w:sz w:val="22"/>
          <w:szCs w:val="22"/>
        </w:rPr>
        <w:br/>
      </w:r>
      <w:r w:rsidR="003F6EFC" w:rsidRPr="003F6EFC">
        <w:rPr>
          <w:rFonts w:ascii="Calibri" w:hAnsi="Calibri" w:cs="Calibri"/>
          <w:b/>
          <w:bCs/>
          <w:sz w:val="26"/>
          <w:szCs w:val="26"/>
        </w:rPr>
        <w:t>SEKCJA 15: INFORMACJE DOTYCZĄCE PRZEPISÓW PRAWNYCH</w:t>
      </w:r>
    </w:p>
    <w:p w14:paraId="6FE82EFA" w14:textId="395F1A84" w:rsidR="00F54CA2" w:rsidRPr="003F6EFC" w:rsidRDefault="00F54CA2" w:rsidP="00E57610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 xml:space="preserve">Produkt podlega REACH i CLP.  </w:t>
      </w:r>
      <w:r w:rsidRPr="003F6EFC">
        <w:rPr>
          <w:rFonts w:ascii="Calibri" w:hAnsi="Calibri" w:cs="Calibri"/>
          <w:sz w:val="22"/>
          <w:szCs w:val="22"/>
        </w:rPr>
        <w:br/>
        <w:t>Nie zawiera SVHC.</w:t>
      </w:r>
    </w:p>
    <w:p w14:paraId="3710E4B9" w14:textId="3EB0CE04" w:rsidR="00F54CA2" w:rsidRPr="003F6EFC" w:rsidRDefault="00F54CA2" w:rsidP="00E57610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sz w:val="22"/>
          <w:szCs w:val="22"/>
        </w:rPr>
        <w:t>Produkt nie podlega ograniczeniom na mocy załącznika XVII do REACH ani obowiązkowi zgłoszenia do ECHA (art. 7). Produkt przeznaczony do użytku konsumenckiego – stosować zgodnie z etykietą.</w:t>
      </w:r>
    </w:p>
    <w:p w14:paraId="01AB617D" w14:textId="77777777" w:rsidR="000D37C5" w:rsidRPr="00E663CE" w:rsidRDefault="003F6EFC" w:rsidP="000D37C5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3F6EFC">
        <w:rPr>
          <w:rFonts w:ascii="Calibri" w:hAnsi="Calibri" w:cs="Calibri"/>
          <w:b/>
          <w:bCs/>
          <w:sz w:val="26"/>
          <w:szCs w:val="26"/>
        </w:rPr>
        <w:t>SEKCJA 16: INNE INFORMACJE</w:t>
      </w:r>
      <w:r w:rsidRPr="003F6EFC">
        <w:rPr>
          <w:rFonts w:ascii="Calibri" w:hAnsi="Calibri" w:cs="Calibri"/>
          <w:sz w:val="26"/>
          <w:szCs w:val="26"/>
        </w:rPr>
        <w:br/>
      </w:r>
      <w:proofErr w:type="spellStart"/>
      <w:r w:rsidR="000D37C5" w:rsidRPr="000D37C5">
        <w:rPr>
          <w:rFonts w:ascii="Calibri" w:hAnsi="Calibri" w:cs="Calibri"/>
          <w:sz w:val="22"/>
          <w:szCs w:val="22"/>
        </w:rPr>
        <w:t>Informacje</w:t>
      </w:r>
      <w:proofErr w:type="spellEnd"/>
      <w:r w:rsidR="000D37C5" w:rsidRPr="000D37C5">
        <w:rPr>
          <w:rFonts w:ascii="Calibri" w:hAnsi="Calibri" w:cs="Calibri"/>
          <w:sz w:val="22"/>
          <w:szCs w:val="22"/>
        </w:rPr>
        <w:t xml:space="preserve"> zawarte w niniejszej karcie charakterystyki oparte są na aktualnym stanie wiedzy producenta oraz danych dostarczonych przez dostawców surowców. Mają one na celu opis warunków </w:t>
      </w:r>
      <w:r w:rsidR="000D37C5" w:rsidRPr="000D37C5">
        <w:rPr>
          <w:rFonts w:ascii="Calibri" w:hAnsi="Calibri" w:cs="Calibri"/>
          <w:sz w:val="22"/>
          <w:szCs w:val="22"/>
        </w:rPr>
        <w:lastRenderedPageBreak/>
        <w:t xml:space="preserve">bezpieczeństwa i sposobów prawidłowego obchodzenia się z produktem, lecz </w:t>
      </w:r>
      <w:r w:rsidR="000D37C5" w:rsidRPr="00E663CE">
        <w:rPr>
          <w:rFonts w:ascii="Calibri" w:hAnsi="Calibri" w:cs="Calibri"/>
          <w:sz w:val="22"/>
          <w:szCs w:val="22"/>
        </w:rPr>
        <w:t>nie stanowią gwarancji właściwości.</w:t>
      </w:r>
    </w:p>
    <w:p w14:paraId="26C7A778" w14:textId="77777777" w:rsidR="000D37C5" w:rsidRDefault="000D37C5" w:rsidP="000D37C5">
      <w:pPr>
        <w:spacing w:after="0" w:line="288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sz w:val="22"/>
          <w:szCs w:val="22"/>
        </w:rPr>
        <w:t>Produkt należy stosować wyłącznie zgodnie z przeznaczeniem określonym w sekcji 1. Użytkownik ponosi odpowiedzialność za stosowanie produktu w sposób zgodny z obowiązującymi przepisami oraz ocenę ryzyka we własnym środowisku pracy.</w:t>
      </w:r>
    </w:p>
    <w:p w14:paraId="00A324C5" w14:textId="77777777" w:rsidR="00B2696B" w:rsidRPr="000D37C5" w:rsidRDefault="00B2696B" w:rsidP="000D37C5">
      <w:pPr>
        <w:spacing w:after="0" w:line="288" w:lineRule="auto"/>
        <w:rPr>
          <w:rFonts w:ascii="Calibri" w:hAnsi="Calibri" w:cs="Calibri"/>
          <w:sz w:val="22"/>
          <w:szCs w:val="22"/>
        </w:rPr>
      </w:pPr>
    </w:p>
    <w:p w14:paraId="54705CC5" w14:textId="77777777" w:rsidR="000D37C5" w:rsidRDefault="000D37C5" w:rsidP="000D37C5">
      <w:pPr>
        <w:spacing w:after="0" w:line="288" w:lineRule="auto"/>
        <w:rPr>
          <w:rFonts w:ascii="Calibri" w:hAnsi="Calibri" w:cs="Calibri"/>
          <w:b/>
          <w:bCs/>
        </w:rPr>
      </w:pPr>
      <w:r w:rsidRPr="000D37C5">
        <w:rPr>
          <w:rFonts w:ascii="Calibri" w:hAnsi="Calibri" w:cs="Calibri"/>
          <w:b/>
          <w:bCs/>
        </w:rPr>
        <w:t>Brzmienie zwrotów H wymienionych w sekcji 3 (dotyczących składników kompozycji zapachowej):</w:t>
      </w:r>
    </w:p>
    <w:p w14:paraId="515FFE3C" w14:textId="18FBDF46" w:rsidR="00C650A4" w:rsidRDefault="00C650A4" w:rsidP="006A657F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H302</w:t>
      </w:r>
      <w:r>
        <w:rPr>
          <w:rFonts w:ascii="Calibri" w:hAnsi="Calibri" w:cs="Calibri"/>
          <w:sz w:val="22"/>
          <w:szCs w:val="22"/>
        </w:rPr>
        <w:t xml:space="preserve"> - </w:t>
      </w:r>
      <w:r w:rsidRPr="00954EC5">
        <w:rPr>
          <w:rFonts w:ascii="Calibri" w:hAnsi="Calibri" w:cs="Calibri"/>
          <w:sz w:val="22"/>
          <w:szCs w:val="22"/>
        </w:rPr>
        <w:t>Działa szkodliwie po połknięciu.</w:t>
      </w:r>
    </w:p>
    <w:p w14:paraId="25D6FCB9" w14:textId="155169BC" w:rsidR="009F03CF" w:rsidRPr="00745040" w:rsidRDefault="009F03CF" w:rsidP="006A657F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9F03CF">
        <w:rPr>
          <w:rFonts w:ascii="Calibri" w:hAnsi="Calibri" w:cs="Calibri"/>
          <w:b/>
          <w:bCs/>
          <w:sz w:val="22"/>
          <w:szCs w:val="22"/>
        </w:rPr>
        <w:t>H312</w:t>
      </w:r>
      <w:r>
        <w:rPr>
          <w:rFonts w:ascii="Calibri" w:hAnsi="Calibri" w:cs="Calibri"/>
          <w:sz w:val="22"/>
          <w:szCs w:val="22"/>
        </w:rPr>
        <w:t xml:space="preserve"> - Działa szkodliwie w kontakcie ze skórą.</w:t>
      </w:r>
    </w:p>
    <w:p w14:paraId="6AA91817" w14:textId="6F189ED1" w:rsidR="00C650A4" w:rsidRPr="00745040" w:rsidRDefault="00C650A4" w:rsidP="006A657F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H315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drażniąco na skórę.</w:t>
      </w:r>
    </w:p>
    <w:p w14:paraId="740E1174" w14:textId="107255BB" w:rsidR="00C650A4" w:rsidRDefault="00C650A4" w:rsidP="006A657F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H317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Może powodować reakcję alergiczną skóry.</w:t>
      </w:r>
    </w:p>
    <w:p w14:paraId="5AC08CF2" w14:textId="6DAFA09E" w:rsidR="00C650A4" w:rsidRDefault="00C650A4" w:rsidP="006A657F">
      <w:pPr>
        <w:pStyle w:val="Akapitzlist"/>
        <w:spacing w:after="12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H319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drażniąco na oczy.</w:t>
      </w:r>
    </w:p>
    <w:p w14:paraId="27EBF8DB" w14:textId="5A649D56" w:rsidR="00C650A4" w:rsidRDefault="00C650A4" w:rsidP="006A657F">
      <w:pPr>
        <w:pStyle w:val="Akapitzlist"/>
        <w:spacing w:after="0" w:line="276" w:lineRule="auto"/>
        <w:ind w:left="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H400</w:t>
      </w:r>
      <w:r>
        <w:rPr>
          <w:rFonts w:ascii="Calibri" w:hAnsi="Calibri" w:cs="Calibri"/>
          <w:sz w:val="22"/>
          <w:szCs w:val="22"/>
        </w:rPr>
        <w:t xml:space="preserve"> - </w:t>
      </w:r>
      <w:r w:rsidRPr="000D37C5">
        <w:rPr>
          <w:rFonts w:ascii="Calibri" w:hAnsi="Calibri" w:cs="Calibri"/>
          <w:sz w:val="22"/>
          <w:szCs w:val="22"/>
        </w:rPr>
        <w:t>Działa bardzo toksycznie na organizmy wodne</w:t>
      </w:r>
    </w:p>
    <w:p w14:paraId="22B6B457" w14:textId="35AF3986" w:rsidR="00C650A4" w:rsidRPr="00C650A4" w:rsidRDefault="00C650A4" w:rsidP="006A657F">
      <w:pPr>
        <w:spacing w:after="0" w:line="276" w:lineRule="auto"/>
        <w:ind w:left="2820" w:hanging="282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H410</w:t>
      </w:r>
      <w:r>
        <w:rPr>
          <w:rFonts w:ascii="Calibri" w:hAnsi="Calibri" w:cs="Calibri"/>
          <w:sz w:val="22"/>
          <w:szCs w:val="22"/>
        </w:rPr>
        <w:t xml:space="preserve"> - </w:t>
      </w:r>
      <w:r w:rsidRPr="00954EC5">
        <w:rPr>
          <w:rFonts w:ascii="Calibri" w:hAnsi="Calibri" w:cs="Calibri"/>
          <w:sz w:val="22"/>
          <w:szCs w:val="22"/>
        </w:rPr>
        <w:t>Działa bardzo toksycznie na organizmy wodne, powodując</w:t>
      </w:r>
      <w:r>
        <w:rPr>
          <w:rFonts w:ascii="Calibri" w:hAnsi="Calibri" w:cs="Calibri"/>
          <w:sz w:val="22"/>
          <w:szCs w:val="22"/>
        </w:rPr>
        <w:t xml:space="preserve"> długotrwałe</w:t>
      </w:r>
      <w:r w:rsidRPr="00954EC5">
        <w:rPr>
          <w:rFonts w:ascii="Calibri" w:hAnsi="Calibri" w:cs="Calibri"/>
          <w:sz w:val="22"/>
          <w:szCs w:val="22"/>
        </w:rPr>
        <w:t xml:space="preserve"> skutki.</w:t>
      </w:r>
    </w:p>
    <w:p w14:paraId="376721F0" w14:textId="2D855D03" w:rsidR="00C650A4" w:rsidRPr="00EE25DA" w:rsidRDefault="00C650A4" w:rsidP="006A657F">
      <w:pPr>
        <w:pStyle w:val="Akapitzlist"/>
        <w:spacing w:after="120" w:line="276" w:lineRule="auto"/>
        <w:ind w:left="2820" w:hanging="2820"/>
        <w:rPr>
          <w:rFonts w:ascii="Calibri" w:hAnsi="Calibri" w:cs="Calibri"/>
          <w:sz w:val="22"/>
          <w:szCs w:val="22"/>
        </w:rPr>
      </w:pPr>
      <w:r w:rsidRPr="00C650A4">
        <w:rPr>
          <w:rFonts w:ascii="Calibri" w:hAnsi="Calibri" w:cs="Calibri"/>
          <w:b/>
          <w:bCs/>
          <w:sz w:val="22"/>
          <w:szCs w:val="22"/>
        </w:rPr>
        <w:t>H412</w:t>
      </w:r>
      <w:r>
        <w:rPr>
          <w:rFonts w:ascii="Calibri" w:hAnsi="Calibri" w:cs="Calibri"/>
          <w:sz w:val="22"/>
          <w:szCs w:val="22"/>
        </w:rPr>
        <w:t xml:space="preserve"> - </w:t>
      </w:r>
      <w:r w:rsidRPr="00745040">
        <w:rPr>
          <w:rFonts w:ascii="Calibri" w:hAnsi="Calibri" w:cs="Calibri"/>
          <w:sz w:val="22"/>
          <w:szCs w:val="22"/>
        </w:rPr>
        <w:t>Działa szkodliwie na organizmy wodne, powodując długotrwałe skutki.</w:t>
      </w:r>
    </w:p>
    <w:p w14:paraId="3EAB1A82" w14:textId="77777777" w:rsidR="000D37C5" w:rsidRPr="000D37C5" w:rsidRDefault="000D37C5" w:rsidP="000D37C5">
      <w:pPr>
        <w:spacing w:after="0" w:line="288" w:lineRule="auto"/>
        <w:rPr>
          <w:rFonts w:ascii="Calibri" w:hAnsi="Calibri" w:cs="Calibri"/>
          <w:b/>
          <w:bCs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Skróty i akronimy stosowane w SDS:</w:t>
      </w:r>
    </w:p>
    <w:p w14:paraId="4524BBAD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REACH</w:t>
      </w:r>
      <w:r w:rsidRPr="000D37C5">
        <w:rPr>
          <w:rFonts w:ascii="Calibri" w:hAnsi="Calibri" w:cs="Calibri"/>
          <w:sz w:val="22"/>
          <w:szCs w:val="22"/>
        </w:rPr>
        <w:t xml:space="preserve"> – Rejestracja, Ocena, Udzielanie zezwoleń i Ograniczenia dot. chemikaliów</w:t>
      </w:r>
    </w:p>
    <w:p w14:paraId="2D40BC82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CLP</w:t>
      </w:r>
      <w:r w:rsidRPr="000D37C5">
        <w:rPr>
          <w:rFonts w:ascii="Calibri" w:hAnsi="Calibri" w:cs="Calibri"/>
          <w:sz w:val="22"/>
          <w:szCs w:val="22"/>
        </w:rPr>
        <w:t xml:space="preserve"> – Rozporządzenie w sprawie klasyfikacji, oznakowania i pakowania substancji i mieszanin</w:t>
      </w:r>
    </w:p>
    <w:p w14:paraId="278C86D8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PBT</w:t>
      </w:r>
      <w:r w:rsidRPr="000D37C5">
        <w:rPr>
          <w:rFonts w:ascii="Calibri" w:hAnsi="Calibri" w:cs="Calibri"/>
          <w:sz w:val="22"/>
          <w:szCs w:val="22"/>
        </w:rPr>
        <w:t xml:space="preserve"> – Substancja trwała, </w:t>
      </w:r>
      <w:proofErr w:type="spellStart"/>
      <w:r w:rsidRPr="000D37C5">
        <w:rPr>
          <w:rFonts w:ascii="Calibri" w:hAnsi="Calibri" w:cs="Calibri"/>
          <w:sz w:val="22"/>
          <w:szCs w:val="22"/>
        </w:rPr>
        <w:t>bioakumulacyjna</w:t>
      </w:r>
      <w:proofErr w:type="spellEnd"/>
      <w:r w:rsidRPr="000D37C5">
        <w:rPr>
          <w:rFonts w:ascii="Calibri" w:hAnsi="Calibri" w:cs="Calibri"/>
          <w:sz w:val="22"/>
          <w:szCs w:val="22"/>
        </w:rPr>
        <w:t xml:space="preserve"> i toksyczna</w:t>
      </w:r>
    </w:p>
    <w:p w14:paraId="551DC81C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D37C5">
        <w:rPr>
          <w:rFonts w:ascii="Calibri" w:hAnsi="Calibri" w:cs="Calibri"/>
          <w:b/>
          <w:bCs/>
          <w:sz w:val="22"/>
          <w:szCs w:val="22"/>
        </w:rPr>
        <w:t>vPvB</w:t>
      </w:r>
      <w:proofErr w:type="spellEnd"/>
      <w:r w:rsidRPr="000D37C5">
        <w:rPr>
          <w:rFonts w:ascii="Calibri" w:hAnsi="Calibri" w:cs="Calibri"/>
          <w:sz w:val="22"/>
          <w:szCs w:val="22"/>
        </w:rPr>
        <w:t xml:space="preserve"> – Substancja bardzo trwała i bardzo </w:t>
      </w:r>
      <w:proofErr w:type="spellStart"/>
      <w:r w:rsidRPr="000D37C5">
        <w:rPr>
          <w:rFonts w:ascii="Calibri" w:hAnsi="Calibri" w:cs="Calibri"/>
          <w:sz w:val="22"/>
          <w:szCs w:val="22"/>
        </w:rPr>
        <w:t>bioakumulacyjna</w:t>
      </w:r>
      <w:proofErr w:type="spellEnd"/>
    </w:p>
    <w:p w14:paraId="7292CA7D" w14:textId="77777777" w:rsidR="000D37C5" w:rsidRPr="000D37C5" w:rsidRDefault="000D37C5" w:rsidP="006A657F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SVHC</w:t>
      </w:r>
      <w:r w:rsidRPr="000D37C5">
        <w:rPr>
          <w:rFonts w:ascii="Calibri" w:hAnsi="Calibri" w:cs="Calibri"/>
          <w:sz w:val="22"/>
          <w:szCs w:val="22"/>
        </w:rPr>
        <w:t xml:space="preserve"> – Substancje wzbudzające szczególne obawy</w:t>
      </w:r>
    </w:p>
    <w:p w14:paraId="6D0D76A3" w14:textId="26DC1F0A" w:rsidR="008A0988" w:rsidRPr="003F6EFC" w:rsidRDefault="000D37C5" w:rsidP="005A7AA0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D37C5">
        <w:rPr>
          <w:rFonts w:ascii="Calibri" w:hAnsi="Calibri" w:cs="Calibri"/>
          <w:b/>
          <w:bCs/>
          <w:sz w:val="22"/>
          <w:szCs w:val="22"/>
        </w:rPr>
        <w:t>ADR / RID / IMDG / IATA</w:t>
      </w:r>
      <w:r w:rsidRPr="000D37C5">
        <w:rPr>
          <w:rFonts w:ascii="Calibri" w:hAnsi="Calibri" w:cs="Calibri"/>
          <w:sz w:val="22"/>
          <w:szCs w:val="22"/>
        </w:rPr>
        <w:t xml:space="preserve"> – Normy dotyczące transportu towarów niebezpiecznych</w:t>
      </w:r>
    </w:p>
    <w:sectPr w:rsidR="008A0988" w:rsidRPr="003F6EFC" w:rsidSect="0074504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A1F"/>
    <w:multiLevelType w:val="multilevel"/>
    <w:tmpl w:val="2D1E511A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2E4EEB"/>
    <w:multiLevelType w:val="multilevel"/>
    <w:tmpl w:val="333AA740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69708D"/>
    <w:multiLevelType w:val="multilevel"/>
    <w:tmpl w:val="BFD85A1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BD7181"/>
    <w:multiLevelType w:val="multilevel"/>
    <w:tmpl w:val="E03A9BC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6A76DA"/>
    <w:multiLevelType w:val="hybridMultilevel"/>
    <w:tmpl w:val="A1281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A7AE8"/>
    <w:multiLevelType w:val="multilevel"/>
    <w:tmpl w:val="BA3C23D2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6A0E69"/>
    <w:multiLevelType w:val="multilevel"/>
    <w:tmpl w:val="EED60E0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24" w:hanging="1800"/>
      </w:pPr>
      <w:rPr>
        <w:rFonts w:hint="default"/>
      </w:rPr>
    </w:lvl>
  </w:abstractNum>
  <w:abstractNum w:abstractNumId="7" w15:restartNumberingAfterBreak="0">
    <w:nsid w:val="416B71B6"/>
    <w:multiLevelType w:val="multilevel"/>
    <w:tmpl w:val="3230E7D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602021D"/>
    <w:multiLevelType w:val="multilevel"/>
    <w:tmpl w:val="0E4A690C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8E2234D"/>
    <w:multiLevelType w:val="multilevel"/>
    <w:tmpl w:val="B7E417D8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C50E47"/>
    <w:multiLevelType w:val="multilevel"/>
    <w:tmpl w:val="DF7295D8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64" w:hanging="1800"/>
      </w:pPr>
      <w:rPr>
        <w:rFonts w:hint="default"/>
      </w:rPr>
    </w:lvl>
  </w:abstractNum>
  <w:abstractNum w:abstractNumId="11" w15:restartNumberingAfterBreak="0">
    <w:nsid w:val="62663EB4"/>
    <w:multiLevelType w:val="multilevel"/>
    <w:tmpl w:val="8AC4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A555E"/>
    <w:multiLevelType w:val="multilevel"/>
    <w:tmpl w:val="E03A9B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6A34C61"/>
    <w:multiLevelType w:val="multilevel"/>
    <w:tmpl w:val="F0E6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FE095B"/>
    <w:multiLevelType w:val="multilevel"/>
    <w:tmpl w:val="E03A9B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4E826E6"/>
    <w:multiLevelType w:val="multilevel"/>
    <w:tmpl w:val="E03A9B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16637376">
    <w:abstractNumId w:val="15"/>
  </w:num>
  <w:num w:numId="2" w16cid:durableId="218328605">
    <w:abstractNumId w:val="10"/>
  </w:num>
  <w:num w:numId="3" w16cid:durableId="1043752516">
    <w:abstractNumId w:val="6"/>
  </w:num>
  <w:num w:numId="4" w16cid:durableId="833574498">
    <w:abstractNumId w:val="12"/>
  </w:num>
  <w:num w:numId="5" w16cid:durableId="1046292781">
    <w:abstractNumId w:val="3"/>
  </w:num>
  <w:num w:numId="6" w16cid:durableId="297423083">
    <w:abstractNumId w:val="14"/>
  </w:num>
  <w:num w:numId="7" w16cid:durableId="1687293671">
    <w:abstractNumId w:val="7"/>
  </w:num>
  <w:num w:numId="8" w16cid:durableId="1171260753">
    <w:abstractNumId w:val="2"/>
  </w:num>
  <w:num w:numId="9" w16cid:durableId="975064335">
    <w:abstractNumId w:val="5"/>
  </w:num>
  <w:num w:numId="10" w16cid:durableId="1599362537">
    <w:abstractNumId w:val="0"/>
  </w:num>
  <w:num w:numId="11" w16cid:durableId="1738895462">
    <w:abstractNumId w:val="9"/>
  </w:num>
  <w:num w:numId="12" w16cid:durableId="1178350581">
    <w:abstractNumId w:val="1"/>
  </w:num>
  <w:num w:numId="13" w16cid:durableId="1521240159">
    <w:abstractNumId w:val="8"/>
  </w:num>
  <w:num w:numId="14" w16cid:durableId="2072071357">
    <w:abstractNumId w:val="4"/>
  </w:num>
  <w:num w:numId="15" w16cid:durableId="310062739">
    <w:abstractNumId w:val="11"/>
  </w:num>
  <w:num w:numId="16" w16cid:durableId="13416581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20"/>
    <w:rsid w:val="00024E14"/>
    <w:rsid w:val="00066FD5"/>
    <w:rsid w:val="0009197E"/>
    <w:rsid w:val="000A5FCC"/>
    <w:rsid w:val="000A7EBE"/>
    <w:rsid w:val="000D37C5"/>
    <w:rsid w:val="00205962"/>
    <w:rsid w:val="0021033F"/>
    <w:rsid w:val="00217A0A"/>
    <w:rsid w:val="00245A34"/>
    <w:rsid w:val="002613BB"/>
    <w:rsid w:val="00264702"/>
    <w:rsid w:val="002967F9"/>
    <w:rsid w:val="002B55E0"/>
    <w:rsid w:val="003A6943"/>
    <w:rsid w:val="003F4294"/>
    <w:rsid w:val="003F6EFC"/>
    <w:rsid w:val="005A57F3"/>
    <w:rsid w:val="005A76CA"/>
    <w:rsid w:val="005A7AA0"/>
    <w:rsid w:val="005C56C3"/>
    <w:rsid w:val="005D6BAF"/>
    <w:rsid w:val="00607A68"/>
    <w:rsid w:val="00613415"/>
    <w:rsid w:val="006514D8"/>
    <w:rsid w:val="00672A8F"/>
    <w:rsid w:val="0068716F"/>
    <w:rsid w:val="006A463D"/>
    <w:rsid w:val="006A657F"/>
    <w:rsid w:val="006C3F4E"/>
    <w:rsid w:val="00745040"/>
    <w:rsid w:val="00756820"/>
    <w:rsid w:val="00765BAC"/>
    <w:rsid w:val="007673EB"/>
    <w:rsid w:val="007833DD"/>
    <w:rsid w:val="007A6BFA"/>
    <w:rsid w:val="007D32C4"/>
    <w:rsid w:val="008A0988"/>
    <w:rsid w:val="008A32BC"/>
    <w:rsid w:val="00920847"/>
    <w:rsid w:val="00920E13"/>
    <w:rsid w:val="00937188"/>
    <w:rsid w:val="009941F3"/>
    <w:rsid w:val="009F03CF"/>
    <w:rsid w:val="00A6131E"/>
    <w:rsid w:val="00A66488"/>
    <w:rsid w:val="00AA5847"/>
    <w:rsid w:val="00B2696B"/>
    <w:rsid w:val="00B8529E"/>
    <w:rsid w:val="00C004AE"/>
    <w:rsid w:val="00C2571D"/>
    <w:rsid w:val="00C47B23"/>
    <w:rsid w:val="00C650A4"/>
    <w:rsid w:val="00C95AC7"/>
    <w:rsid w:val="00D574F3"/>
    <w:rsid w:val="00DC5DE7"/>
    <w:rsid w:val="00E508FB"/>
    <w:rsid w:val="00E57610"/>
    <w:rsid w:val="00E663CE"/>
    <w:rsid w:val="00EB4586"/>
    <w:rsid w:val="00EE25DA"/>
    <w:rsid w:val="00F00293"/>
    <w:rsid w:val="00F516E1"/>
    <w:rsid w:val="00F54CA2"/>
    <w:rsid w:val="00F84583"/>
    <w:rsid w:val="00F91309"/>
    <w:rsid w:val="00FD35BB"/>
    <w:rsid w:val="00FE0854"/>
    <w:rsid w:val="00FE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FB3E"/>
  <w15:chartTrackingRefBased/>
  <w15:docId w15:val="{01E84D52-6BD3-4C25-8B76-7D5C5BEC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6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6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6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6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6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6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6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6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6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6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6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6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68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68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68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68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68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68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6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6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6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6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6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68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68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68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6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68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682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967F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67F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D37C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53FCB-7C46-49FB-B412-D0106D1F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8</Pages>
  <Words>2038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 Majewska-Tur</dc:creator>
  <cp:keywords/>
  <dc:description/>
  <cp:lastModifiedBy>Wioletta  Majewska-Tur</cp:lastModifiedBy>
  <cp:revision>22</cp:revision>
  <dcterms:created xsi:type="dcterms:W3CDTF">2025-11-26T07:40:00Z</dcterms:created>
  <dcterms:modified xsi:type="dcterms:W3CDTF">2025-12-05T07:27:00Z</dcterms:modified>
</cp:coreProperties>
</file>